
<file path=[Content_Types].xml><?xml version="1.0" encoding="utf-8"?>
<Types xmlns="http://schemas.openxmlformats.org/package/2006/content-types">
  <Default ContentType="image/x-emf" Extension="emf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/>
        <w:jc w:val="right"/>
        <w:rPr>
          <w:rFonts w:ascii="Times New Roman" w:hAnsi="Times New Roman"/>
          <w:b w:val="1"/>
          <w:sz w:val="32"/>
        </w:rPr>
      </w:pPr>
      <w:bookmarkStart w:id="1" w:name="_GoBack"/>
      <w:bookmarkEnd w:id="1"/>
      <w:r>
        <w:rPr>
          <w:rFonts w:ascii="Times New Roman" w:hAnsi="Times New Roman"/>
          <w:sz w:val="28"/>
        </w:rPr>
        <w:drawing>
          <wp:inline>
            <wp:extent cx="6391275" cy="8961252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6391275" cy="896125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32"/>
        </w:rPr>
        <w:t xml:space="preserve">                                           </w:t>
      </w:r>
    </w:p>
    <w:p w14:paraId="0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0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Самообследование</w:t>
      </w:r>
      <w:r>
        <w:rPr>
          <w:rFonts w:ascii="Times New Roman" w:hAnsi="Times New Roman"/>
          <w:sz w:val="28"/>
        </w:rPr>
        <w:t xml:space="preserve"> муниципального бюджетного учреждения дополнительного образования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 спортивная школа» проводилось в соответствии с федеральным законом «Об образовании в Российской Федерации» от 29 декабря 2012 г. № 273-ФЗ, приказа Министерства образования и науки РФ от 14 июня 2013 г. № 462 «Об утверждении Порядка проведения </w:t>
      </w:r>
      <w:r>
        <w:rPr>
          <w:rFonts w:ascii="Times New Roman" w:hAnsi="Times New Roman"/>
          <w:sz w:val="28"/>
        </w:rPr>
        <w:t>самообследования</w:t>
      </w:r>
      <w:r>
        <w:rPr>
          <w:rFonts w:ascii="Times New Roman" w:hAnsi="Times New Roman"/>
          <w:sz w:val="28"/>
        </w:rPr>
        <w:t xml:space="preserve"> образовательной организации». </w:t>
      </w:r>
    </w:p>
    <w:p w14:paraId="0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Отчет составлен по материалам </w:t>
      </w:r>
      <w:r>
        <w:rPr>
          <w:rFonts w:ascii="Times New Roman" w:hAnsi="Times New Roman"/>
          <w:sz w:val="28"/>
        </w:rPr>
        <w:t>самообследования</w:t>
      </w:r>
      <w:r>
        <w:rPr>
          <w:rFonts w:ascii="Times New Roman" w:hAnsi="Times New Roman"/>
          <w:sz w:val="28"/>
        </w:rPr>
        <w:t xml:space="preserve"> деятельности МБУДО «СШ» за 2024 - 2025</w:t>
      </w:r>
      <w:r>
        <w:rPr>
          <w:rFonts w:ascii="Times New Roman" w:hAnsi="Times New Roman"/>
          <w:sz w:val="28"/>
        </w:rPr>
        <w:t xml:space="preserve"> учебный год.</w:t>
      </w:r>
    </w:p>
    <w:p w14:paraId="05000000">
      <w:pPr>
        <w:spacing w:after="0" w:before="12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Общие сведения об МБУДО «</w:t>
      </w:r>
      <w:r>
        <w:rPr>
          <w:rFonts w:ascii="Times New Roman" w:hAnsi="Times New Roman"/>
          <w:b w:val="1"/>
          <w:sz w:val="28"/>
        </w:rPr>
        <w:t>Краснохолмская</w:t>
      </w:r>
      <w:r>
        <w:rPr>
          <w:rFonts w:ascii="Times New Roman" w:hAnsi="Times New Roman"/>
          <w:b w:val="1"/>
          <w:sz w:val="28"/>
        </w:rPr>
        <w:t xml:space="preserve"> СШ» и организационно – </w:t>
      </w:r>
    </w:p>
    <w:p w14:paraId="06000000">
      <w:pPr>
        <w:spacing w:after="12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правовое обеспечение образовательной деятельности</w:t>
      </w:r>
    </w:p>
    <w:p w14:paraId="0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Полное наименование учреждения:</w:t>
      </w:r>
      <w:r>
        <w:rPr>
          <w:rFonts w:ascii="Times New Roman" w:hAnsi="Times New Roman"/>
          <w:sz w:val="28"/>
        </w:rPr>
        <w:t xml:space="preserve"> Муниципальное бюджетное учреждение дополнительного образования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 спортивная школа». </w:t>
      </w:r>
    </w:p>
    <w:p w14:paraId="0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Сокращенное наименование Учреждения:</w:t>
      </w:r>
      <w:r>
        <w:rPr>
          <w:rFonts w:ascii="Times New Roman" w:hAnsi="Times New Roman"/>
          <w:sz w:val="28"/>
        </w:rPr>
        <w:t xml:space="preserve"> МБУДО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СШ». </w:t>
      </w:r>
    </w:p>
    <w:p w14:paraId="0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Местонахождение (юридический адрес) Учреждения:</w:t>
      </w:r>
      <w:r>
        <w:rPr>
          <w:rFonts w:ascii="Times New Roman" w:hAnsi="Times New Roman"/>
          <w:sz w:val="28"/>
        </w:rPr>
        <w:t xml:space="preserve">171660, Тверская область, г. Красный Холм, ул. </w:t>
      </w:r>
      <w:r>
        <w:rPr>
          <w:rFonts w:ascii="Times New Roman" w:hAnsi="Times New Roman"/>
          <w:sz w:val="28"/>
        </w:rPr>
        <w:t>Мясникова</w:t>
      </w:r>
      <w:r>
        <w:rPr>
          <w:rFonts w:ascii="Times New Roman" w:hAnsi="Times New Roman"/>
          <w:sz w:val="28"/>
        </w:rPr>
        <w:t>, д. 34В.</w:t>
      </w:r>
    </w:p>
    <w:p w14:paraId="0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Фактический адрес:</w:t>
      </w:r>
      <w:r>
        <w:rPr>
          <w:rFonts w:ascii="Times New Roman" w:hAnsi="Times New Roman"/>
          <w:sz w:val="28"/>
        </w:rPr>
        <w:t xml:space="preserve">171660, Тверская область,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 xml:space="preserve">. Красный Холм, ул. </w:t>
      </w:r>
      <w:r>
        <w:rPr>
          <w:rFonts w:ascii="Times New Roman" w:hAnsi="Times New Roman"/>
          <w:sz w:val="28"/>
        </w:rPr>
        <w:t>Мясникова</w:t>
      </w:r>
      <w:r>
        <w:rPr>
          <w:rFonts w:ascii="Times New Roman" w:hAnsi="Times New Roman"/>
          <w:sz w:val="28"/>
        </w:rPr>
        <w:t>, д. 34В.</w:t>
      </w:r>
    </w:p>
    <w:p w14:paraId="0B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Телефон/факс:</w:t>
      </w:r>
      <w:r>
        <w:rPr>
          <w:rFonts w:ascii="Times New Roman" w:hAnsi="Times New Roman"/>
          <w:sz w:val="28"/>
        </w:rPr>
        <w:t xml:space="preserve"> 8(48237) 22-913</w:t>
      </w:r>
    </w:p>
    <w:p w14:paraId="0C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E-mail:</w:t>
      </w:r>
      <w:r>
        <w:rPr>
          <w:rStyle w:val="Style_1_ch"/>
          <w:rFonts w:ascii="Times New Roman" w:hAnsi="Times New Roman"/>
          <w:color w:themeColor="text1" w:val="000000"/>
          <w:sz w:val="28"/>
        </w:rPr>
        <w:fldChar w:fldCharType="begin"/>
      </w:r>
      <w:r>
        <w:rPr>
          <w:rStyle w:val="Style_1_ch"/>
          <w:rFonts w:ascii="Times New Roman" w:hAnsi="Times New Roman"/>
          <w:color w:themeColor="text1" w:val="000000"/>
          <w:sz w:val="28"/>
        </w:rPr>
        <w:instrText>HYPERLINK "mailto:krholmsport@gmail.com"</w:instrText>
      </w:r>
      <w:r>
        <w:rPr>
          <w:rStyle w:val="Style_1_ch"/>
          <w:rFonts w:ascii="Times New Roman" w:hAnsi="Times New Roman"/>
          <w:color w:themeColor="text1" w:val="000000"/>
          <w:sz w:val="28"/>
        </w:rPr>
        <w:fldChar w:fldCharType="separate"/>
      </w:r>
      <w:r>
        <w:rPr>
          <w:rStyle w:val="Style_1_ch"/>
          <w:rFonts w:ascii="Times New Roman" w:hAnsi="Times New Roman"/>
          <w:color w:themeColor="text1" w:val="000000"/>
          <w:sz w:val="28"/>
        </w:rPr>
        <w:t>krholmsport@gmail.com</w:t>
      </w:r>
      <w:r>
        <w:rPr>
          <w:rStyle w:val="Style_1_ch"/>
          <w:rFonts w:ascii="Times New Roman" w:hAnsi="Times New Roman"/>
          <w:color w:themeColor="text1" w:val="000000"/>
          <w:sz w:val="28"/>
        </w:rPr>
        <w:fldChar w:fldCharType="end"/>
      </w:r>
    </w:p>
    <w:p w14:paraId="0D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Директор: </w:t>
      </w:r>
      <w:r>
        <w:rPr>
          <w:rFonts w:ascii="Times New Roman" w:hAnsi="Times New Roman"/>
          <w:sz w:val="28"/>
        </w:rPr>
        <w:t>Тюрин Олег Игоревич.</w:t>
      </w:r>
    </w:p>
    <w:p w14:paraId="0E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Учредитель и Собственник СШ:</w:t>
      </w:r>
      <w:r>
        <w:rPr>
          <w:rFonts w:ascii="Times New Roman" w:hAnsi="Times New Roman"/>
          <w:sz w:val="28"/>
        </w:rPr>
        <w:t xml:space="preserve"> Муниципальное образование Тверской области «Краснохолмский муниципальный округ» (далее именуемый Учредитель).</w:t>
      </w:r>
    </w:p>
    <w:p w14:paraId="0F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Юридический и фактический адрес учредителя:</w:t>
      </w:r>
      <w:r>
        <w:rPr>
          <w:rFonts w:ascii="Times New Roman" w:hAnsi="Times New Roman"/>
          <w:sz w:val="28"/>
        </w:rPr>
        <w:t xml:space="preserve">171660, Тверская область,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. Красный Холм, пл. Карла Маркса, д. 10.</w:t>
      </w:r>
    </w:p>
    <w:p w14:paraId="10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Функции и полномочия </w:t>
      </w:r>
      <w:r>
        <w:rPr>
          <w:rFonts w:ascii="Times New Roman" w:hAnsi="Times New Roman"/>
          <w:sz w:val="28"/>
        </w:rPr>
        <w:t>УчредителяСШ</w:t>
      </w:r>
      <w:r>
        <w:rPr>
          <w:rFonts w:ascii="Times New Roman" w:hAnsi="Times New Roman"/>
          <w:sz w:val="28"/>
        </w:rPr>
        <w:t xml:space="preserve"> выполняет Отдел  образования администрации Краснохолмского муниципального округа Тверской области (ОО).</w:t>
      </w:r>
    </w:p>
    <w:p w14:paraId="11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МБУДО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СШ» работает на основании лицензии на осуществление образовательной деятельности № 407 от 26 декабря 2016 года (серия 69 Л 01 № 0002026). </w:t>
      </w:r>
      <w:r>
        <w:rPr>
          <w:rFonts w:ascii="Times New Roman" w:hAnsi="Times New Roman"/>
          <w:sz w:val="28"/>
          <w:u w:val="single"/>
        </w:rPr>
        <w:t>Срок действия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бессрочная</w:t>
      </w:r>
      <w:r>
        <w:rPr>
          <w:rFonts w:ascii="Times New Roman" w:hAnsi="Times New Roman"/>
          <w:sz w:val="28"/>
        </w:rPr>
        <w:t>.</w:t>
      </w:r>
    </w:p>
    <w:p w14:paraId="12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своей деятельности Учреждение руководствуется Конституцией Российской Федерации, Законом Российской Федерации «Об образовании», Гражданским кодексом Российской Федерации, указами и распоряжениями Президента РФ, постановлениями и распоряжениями Правительства Российской Федерации, иными законодательными и нормативными актами Российской Федерации, Тверской области.</w:t>
      </w:r>
    </w:p>
    <w:p w14:paraId="13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МБУДО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СШ» является юридическим лицом, имеет самостоятельный баланс, лицевой счет в территориальном органе Федерального казначейства по Тверской области, печать установленного образца, бланки и штампы со своим наименованием. </w:t>
      </w:r>
    </w:p>
    <w:p w14:paraId="14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МБУДО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СШ» от своего имени приобретает и осуществляет имущественные и личные неимущественные права, выполняет обязанности, выступает истцом и ответчиком в суде в соответствии с федеральными законами. </w:t>
      </w:r>
    </w:p>
    <w:p w14:paraId="15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Учреждение отвечает по своим обязательствам всем имуществом, находящимся у него на праве оперативного управления, за исключением недвижимого имущества и особо ценного движимого имущества, закрепленных за ним Учредителем или приобретенных за счет СШ средств, выделенных ему Учредителем на приобретение этого имущества. </w:t>
      </w:r>
    </w:p>
    <w:p w14:paraId="16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Учреждение строит свои отношения с другими предприятиями, учреждениями, организациями и гражданами во всех сферах на основе договоров, соглашений. Учреждение самостоятельно в осуществлении функций, отнесенных к его компетенции. </w:t>
      </w:r>
      <w:r>
        <w:rPr>
          <w:rFonts w:ascii="Times New Roman" w:hAnsi="Times New Roman"/>
          <w:sz w:val="28"/>
        </w:rPr>
        <w:t>Контроль за</w:t>
      </w:r>
      <w:r>
        <w:rPr>
          <w:rFonts w:ascii="Times New Roman" w:hAnsi="Times New Roman"/>
          <w:sz w:val="28"/>
        </w:rPr>
        <w:t xml:space="preserve"> деятельностью Учреждения осуществляет Учредитель.</w:t>
      </w:r>
    </w:p>
    <w:p w14:paraId="17000000">
      <w:pPr>
        <w:pStyle w:val="Style_2"/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Система управления образовательного учреждения</w:t>
      </w:r>
    </w:p>
    <w:p w14:paraId="18000000">
      <w:pPr>
        <w:pStyle w:val="Style_2"/>
        <w:spacing w:after="0" w:line="240" w:lineRule="auto"/>
        <w:ind w:firstLine="708" w:left="0"/>
        <w:jc w:val="both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sz w:val="28"/>
        </w:rPr>
        <w:t>МБУДО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СШ» осуществляют свою деятельность на основе Устава учреждения, утвержденного постановлением администрации Краснохолмского муниципального округа. Порядок организации управления СШ определен Уставом.</w:t>
      </w:r>
    </w:p>
    <w:p w14:paraId="1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Управление в учреждении осуществляется на принципах единоначалия и самоуправления в соответствии с новым Федеральным законом №273-ФЗ «Об образовании в Российской Федерации» и Уставом. </w:t>
      </w:r>
    </w:p>
    <w:p w14:paraId="1A000000">
      <w:pPr>
        <w:tabs>
          <w:tab w:leader="none" w:pos="10065" w:val="left"/>
        </w:tabs>
        <w:spacing w:after="0" w:line="240" w:lineRule="auto"/>
        <w:ind w:firstLine="709" w:left="0" w:right="-14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Управленческая система в МБУДО «СШ»  – это чёткость управленческих положений, включение тренеров-преподавателей в реализацию функций управления, соблюдения процедуры управления качеством образовательно-воспитательного процесса, начиная с проектирования и заканчивая подготовкой и принятием управленческого решения.</w:t>
      </w:r>
    </w:p>
    <w:p w14:paraId="1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Непосредственное управление учреждением осуществляет директор, который назначается начальником отдела образования муниципального образования по согласованию с Учредителем. Директор действует на основе единоначалия, решает все вопросы деятельности Учреждения, не входящие в компетенцию органов самоуправления. </w:t>
      </w:r>
    </w:p>
    <w:p w14:paraId="1C000000">
      <w:pPr>
        <w:spacing w:after="0" w:line="240" w:lineRule="auto"/>
        <w:ind w:firstLine="709" w:left="0" w:right="533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Формами управления МБУДО «</w:t>
      </w:r>
      <w:r>
        <w:rPr>
          <w:rFonts w:ascii="Times New Roman" w:hAnsi="Times New Roman"/>
          <w:color w:themeColor="text1" w:val="000000"/>
          <w:sz w:val="28"/>
        </w:rPr>
        <w:t>Краснохолмская</w:t>
      </w:r>
      <w:r>
        <w:rPr>
          <w:rFonts w:ascii="Times New Roman" w:hAnsi="Times New Roman"/>
          <w:color w:themeColor="text1" w:val="000000"/>
          <w:sz w:val="28"/>
        </w:rPr>
        <w:t xml:space="preserve"> СШ» являются Общее Собрание трудового коллектива СШ и тренерско-педагогический состав.</w:t>
      </w:r>
    </w:p>
    <w:p w14:paraId="1D000000">
      <w:pPr>
        <w:spacing w:after="0" w:line="240" w:lineRule="auto"/>
        <w:ind w:firstLine="709" w:left="0" w:right="53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Существующая структура МБУДО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СШ» на современном этапе соответствует функциональным задачам и Уставу. (Таблица 1).</w:t>
      </w:r>
    </w:p>
    <w:p w14:paraId="1E000000">
      <w:pPr>
        <w:spacing w:after="0" w:line="240" w:lineRule="auto"/>
        <w:ind w:firstLine="709" w:left="0" w:right="533"/>
        <w:jc w:val="both"/>
        <w:rPr>
          <w:rFonts w:ascii="Times New Roman" w:hAnsi="Times New Roman"/>
          <w:sz w:val="24"/>
        </w:rPr>
      </w:pPr>
    </w:p>
    <w:p w14:paraId="1F000000">
      <w:pPr>
        <w:pStyle w:val="Style_2"/>
        <w:ind w:firstLine="0" w:left="0"/>
        <w:jc w:val="center"/>
        <w:rPr>
          <w:rFonts w:ascii="Times New Roman" w:hAnsi="Times New Roman"/>
          <w:sz w:val="24"/>
        </w:rPr>
      </w:pPr>
    </w:p>
    <w:p w14:paraId="20000000">
      <w:pPr>
        <w:pStyle w:val="Style_2"/>
        <w:ind w:firstLine="0" w:left="0"/>
        <w:jc w:val="center"/>
        <w:rPr>
          <w:rFonts w:ascii="Times New Roman" w:hAnsi="Times New Roman"/>
          <w:sz w:val="24"/>
        </w:rPr>
      </w:pPr>
    </w:p>
    <w:p w14:paraId="21000000">
      <w:pPr>
        <w:pStyle w:val="Style_2"/>
        <w:ind w:firstLine="0" w:left="0"/>
        <w:jc w:val="center"/>
        <w:rPr>
          <w:rFonts w:ascii="Times New Roman" w:hAnsi="Times New Roman"/>
          <w:sz w:val="24"/>
        </w:rPr>
      </w:pPr>
    </w:p>
    <w:p w14:paraId="22000000">
      <w:pPr>
        <w:pStyle w:val="Style_2"/>
        <w:ind w:firstLine="0" w:left="0"/>
        <w:jc w:val="center"/>
        <w:rPr>
          <w:rFonts w:ascii="Times New Roman" w:hAnsi="Times New Roman"/>
          <w:sz w:val="24"/>
        </w:rPr>
      </w:pPr>
    </w:p>
    <w:tbl>
      <w:tblPr>
        <w:tblStyle w:val="Style_3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11"/>
      </w:tblGrid>
      <w:tr>
        <w:trPr>
          <w:trHeight w:hRule="atLeast" w:val="449"/>
        </w:trPr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000000">
            <w:pPr>
              <w:pStyle w:val="Style_2"/>
              <w:ind w:firstLine="0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 УЧРЕЖДЕНИЯ</w:t>
            </w:r>
          </w:p>
        </w:tc>
      </w:tr>
    </w:tbl>
    <w:p w14:paraId="24000000">
      <w:pPr>
        <w:pStyle w:val="Style_2"/>
        <w:ind w:firstLine="0"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3175635</wp:posOffset>
                </wp:positionH>
                <wp:positionV relativeFrom="paragraph">
                  <wp:posOffset>18415</wp:posOffset>
                </wp:positionV>
                <wp:extent cx="0" cy="400050"/>
                <wp:wrapNone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0" cy="40005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tailEnd len="med" type="arrow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5000000">
      <w:pPr>
        <w:pStyle w:val="Style_2"/>
        <w:ind w:firstLine="0" w:left="0"/>
        <w:jc w:val="center"/>
        <w:rPr>
          <w:rFonts w:ascii="Times New Roman" w:hAnsi="Times New Roman"/>
          <w:sz w:val="24"/>
        </w:rPr>
      </w:pPr>
    </w:p>
    <w:tbl>
      <w:tblPr>
        <w:tblStyle w:val="Style_3"/>
        <w:tblpPr w:bottomFromText="0" w:horzAnchor="text" w:leftFromText="180" w:rightFromText="180" w:tblpX="3652" w:tblpY="1" w:topFromText="0" w:vertAnchor="text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35"/>
      </w:tblGrid>
      <w:tr>
        <w:trPr>
          <w:trHeight w:hRule="atLeast" w:val="412"/>
        </w:trP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000000">
            <w:pPr>
              <w:pStyle w:val="Style_2"/>
              <w:ind w:firstLine="0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</w:tr>
    </w:tbl>
    <w:p w14:paraId="27000000">
      <w:pPr>
        <w:pStyle w:val="Style_2"/>
        <w:ind w:firstLine="0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5223510</wp:posOffset>
                </wp:positionH>
                <wp:positionV relativeFrom="paragraph">
                  <wp:posOffset>146050</wp:posOffset>
                </wp:positionV>
                <wp:extent cx="0" cy="800100"/>
                <wp:wrapNone/>
                <wp:docPr hidden="false" id="4" name="Picture 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0" cy="8001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tailEnd len="med" type="arrow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b w:val="1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1118235</wp:posOffset>
                </wp:positionH>
                <wp:positionV relativeFrom="paragraph">
                  <wp:posOffset>129540</wp:posOffset>
                </wp:positionV>
                <wp:extent cx="0" cy="800100"/>
                <wp:wrapNone/>
                <wp:docPr hidden="false" id="5" name="Picture 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0" cy="8001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tailEnd len="med" type="arrow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b w:val="1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3175635</wp:posOffset>
                </wp:positionH>
                <wp:positionV relativeFrom="paragraph">
                  <wp:posOffset>281940</wp:posOffset>
                </wp:positionV>
                <wp:extent cx="0" cy="664210"/>
                <wp:wrapNone/>
                <wp:docPr hidden="false" id="6" name="Picture 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0" cy="66421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tailEnd len="med" type="arrow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b w:val="1"/>
          <w:sz w:val="24"/>
        </w:rPr>
        <w:br/>
      </w:r>
    </w:p>
    <w:p w14:paraId="28000000">
      <w:pPr>
        <w:pStyle w:val="Style_2"/>
        <w:ind w:firstLine="0" w:left="0"/>
        <w:jc w:val="center"/>
        <w:rPr>
          <w:rFonts w:ascii="Times New Roman" w:hAnsi="Times New Roman"/>
          <w:b w:val="1"/>
          <w:sz w:val="24"/>
        </w:rPr>
      </w:pPr>
    </w:p>
    <w:tbl>
      <w:tblPr>
        <w:tblStyle w:val="Style_3"/>
        <w:tblpPr w:bottomFromText="0" w:horzAnchor="margin" w:leftFromText="180" w:rightFromText="180" w:tblpX="6964" w:tblpY="198" w:topFromText="0" w:vertAnchor="text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80"/>
      </w:tblGrid>
      <w:tr>
        <w:tc>
          <w:tcPr>
            <w:tcW w:type="dxa" w:w="2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РОДИТЕЛЬСКИЙ КОМИТЕТ</w:t>
            </w:r>
          </w:p>
        </w:tc>
      </w:tr>
    </w:tbl>
    <w:tbl>
      <w:tblPr>
        <w:tblStyle w:val="Style_3"/>
        <w:tblpPr w:bottomFromText="0" w:horzAnchor="margin" w:leftFromText="180" w:rightFromText="180" w:tblpXSpec="center" w:tblpY="228" w:topFromText="0" w:vertAnchor="text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467"/>
      </w:tblGrid>
      <w:tr>
        <w:tc>
          <w:tcPr>
            <w:tcW w:type="dxa" w:w="24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ТРЕНЕРСКО-ПЕДАГОГИЧЕСКИЙ</w:t>
            </w:r>
            <w:r>
              <w:rPr>
                <w:rFonts w:ascii="Times New Roman" w:hAnsi="Times New Roman"/>
                <w:sz w:val="24"/>
              </w:rPr>
              <w:t xml:space="preserve"> СОВЕТ</w:t>
            </w:r>
          </w:p>
        </w:tc>
      </w:tr>
    </w:tbl>
    <w:tbl>
      <w:tblPr>
        <w:tblStyle w:val="Style_3"/>
        <w:tblpPr w:bottomFromText="0" w:horzAnchor="margin" w:leftFromText="180" w:rightFromText="180" w:tblpX="424" w:tblpY="183" w:topFromText="0" w:vertAnchor="text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24"/>
      </w:tblGrid>
      <w:tr>
        <w:trPr>
          <w:trHeight w:hRule="atLeast" w:val="915"/>
        </w:trPr>
        <w:tc>
          <w:tcPr>
            <w:tcW w:type="dxa" w:w="2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ОБЩЕЕ </w:t>
            </w:r>
            <w:r>
              <w:rPr>
                <w:rFonts w:ascii="Times New Roman" w:hAnsi="Times New Roman"/>
                <w:sz w:val="24"/>
              </w:rPr>
              <w:t>СОБРАНИЕ ТРУДОВОГО КОЛЛЕКТИВА</w:t>
            </w:r>
          </w:p>
        </w:tc>
      </w:tr>
    </w:tbl>
    <w:p w14:paraId="2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2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-4802505</wp:posOffset>
                </wp:positionH>
                <wp:positionV relativeFrom="paragraph">
                  <wp:posOffset>964247</wp:posOffset>
                </wp:positionV>
                <wp:extent cx="0" cy="0"/>
                <wp:wrapNone/>
                <wp:docPr hidden="false" id="7" name="Picture 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p w14:paraId="2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2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5440045</wp:posOffset>
                </wp:positionH>
                <wp:positionV relativeFrom="paragraph">
                  <wp:posOffset>194310</wp:posOffset>
                </wp:positionV>
                <wp:extent cx="0" cy="657225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0" cy="657225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tailEnd len="med" type="arrow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b w:val="1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3058795</wp:posOffset>
                </wp:positionH>
                <wp:positionV relativeFrom="paragraph">
                  <wp:posOffset>194310</wp:posOffset>
                </wp:positionV>
                <wp:extent cx="0" cy="657225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0" cy="657225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tailEnd len="med" type="arrow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b w:val="1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1401445</wp:posOffset>
                </wp:positionH>
                <wp:positionV relativeFrom="paragraph">
                  <wp:posOffset>194310</wp:posOffset>
                </wp:positionV>
                <wp:extent cx="0" cy="657225"/>
                <wp:wrapNone/>
                <wp:docPr hidden="false" id="10" name="Picture 1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0" cy="657225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tailEnd len="med" type="arrow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1118235</wp:posOffset>
                </wp:positionH>
                <wp:positionV relativeFrom="paragraph">
                  <wp:posOffset>198755</wp:posOffset>
                </wp:positionV>
                <wp:extent cx="4324350" cy="0"/>
                <wp:wrapNone/>
                <wp:docPr hidden="false" id="11" name="Picture 1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32435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3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3"/>
        <w:tblpPr w:bottomFromText="0" w:horzAnchor="margin" w:leftFromText="180" w:rightFromText="180" w:tblpXSpec="center" w:tblpY="136" w:topFromText="0" w:vertAnchor="text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494"/>
      </w:tblGrid>
      <w:tr>
        <w:trPr>
          <w:trHeight w:hRule="atLeast" w:val="1273"/>
        </w:trPr>
        <w:tc>
          <w:tcPr>
            <w:tcW w:type="dxa" w:w="24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5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ОБУЧАЮЩИЕСЯ И ИХ РОДИТЕЛИ (ЗАКОННЫЕ ПРЕДСТАВИТЕЛИ)</w:t>
            </w:r>
          </w:p>
        </w:tc>
      </w:tr>
    </w:tbl>
    <w:tbl>
      <w:tblPr>
        <w:tblStyle w:val="Style_3"/>
        <w:tblpPr w:bottomFromText="0" w:horzAnchor="margin" w:leftFromText="180" w:rightFromText="180" w:tblpX="7639" w:tblpY="151" w:topFromText="0" w:vertAnchor="text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81"/>
      </w:tblGrid>
      <w:tr>
        <w:trPr>
          <w:trHeight w:hRule="atLeast" w:val="710"/>
        </w:trPr>
        <w:tc>
          <w:tcPr>
            <w:tcW w:type="dxa" w:w="2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СТАРШИЙ ТРЕНЕР</w:t>
            </w:r>
            <w:r>
              <w:rPr>
                <w:rFonts w:ascii="Times New Roman" w:hAnsi="Times New Roman"/>
                <w:sz w:val="24"/>
              </w:rPr>
              <w:t>-ПРЕПОДАВАТЕЛЬ</w:t>
            </w:r>
          </w:p>
        </w:tc>
      </w:tr>
    </w:tbl>
    <w:tbl>
      <w:tblPr>
        <w:tblStyle w:val="Style_3"/>
        <w:tblpPr w:bottomFromText="0" w:horzAnchor="margin" w:leftFromText="180" w:rightFromText="180" w:tblpX="469" w:tblpY="91" w:topFromText="0" w:vertAnchor="text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441"/>
      </w:tblGrid>
      <w:tr>
        <w:trPr>
          <w:trHeight w:hRule="atLeast" w:val="694"/>
        </w:trPr>
        <w:tc>
          <w:tcPr>
            <w:tcW w:type="dxa" w:w="24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ТРЕНЕРЫ-ПРЕПОДАВАТЕЛИ</w:t>
            </w:r>
          </w:p>
        </w:tc>
      </w:tr>
    </w:tbl>
    <w:p w14:paraId="38000000">
      <w:pPr>
        <w:pStyle w:val="Style_2"/>
        <w:ind w:firstLine="0" w:left="0"/>
        <w:jc w:val="center"/>
        <w:rPr>
          <w:rFonts w:ascii="Times New Roman" w:hAnsi="Times New Roman"/>
          <w:sz w:val="24"/>
        </w:rPr>
      </w:pPr>
    </w:p>
    <w:p w14:paraId="3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Формами самоуправления учреждения являются:</w:t>
      </w:r>
    </w:p>
    <w:p w14:paraId="3F000000">
      <w:pPr>
        <w:spacing w:after="0" w:line="240" w:lineRule="auto"/>
        <w:ind w:firstLine="0"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- Общее собрание трудового коллектива </w:t>
      </w:r>
      <w:r>
        <w:rPr>
          <w:rFonts w:ascii="Times New Roman" w:hAnsi="Times New Roman"/>
          <w:sz w:val="28"/>
        </w:rPr>
        <w:t>собирается не реже 1 раза в год.</w:t>
      </w:r>
    </w:p>
    <w:p w14:paraId="4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Решения общего собрания трудового коллектива считаются правомочными, если присутствует 2/3 списочного состава Учреждения. Собрание трудового коллектива (в дальнейшем – СТК):</w:t>
      </w:r>
    </w:p>
    <w:p w14:paraId="41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рассматривает и принимает Устав Учреждения, изменения и дополнения, вносимые в него;</w:t>
      </w:r>
    </w:p>
    <w:p w14:paraId="42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утверждает Коллективный договор;</w:t>
      </w:r>
    </w:p>
    <w:p w14:paraId="43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утверждает Правила внутреннего трудового распорядка;</w:t>
      </w:r>
    </w:p>
    <w:p w14:paraId="44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утверждает основные направления совершенствования и развития Учреждения, повышения качества и эффективности ее деятельности;</w:t>
      </w:r>
    </w:p>
    <w:p w14:paraId="45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образует орган общественного самоуправления – Совет Учреждения, который организует выполнение решений общего собрания трудового коллектива, работает в тесном контакте с администрацией Учреждения.</w:t>
      </w:r>
    </w:p>
    <w:p w14:paraId="46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- Совет Учреждения </w:t>
      </w:r>
      <w:r>
        <w:rPr>
          <w:rFonts w:ascii="Times New Roman" w:hAnsi="Times New Roman"/>
          <w:sz w:val="28"/>
        </w:rPr>
        <w:t>избирает из своего состава председателя, который руководит работой Совета, проводит его заседания.</w:t>
      </w:r>
    </w:p>
    <w:p w14:paraId="4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Полномочия Совета:</w:t>
      </w:r>
    </w:p>
    <w:p w14:paraId="4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совместно с директором представлять интересы Учреждения в государственных и общественных органах;</w:t>
      </w:r>
    </w:p>
    <w:p w14:paraId="4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участвовать в работе по перспективному планированию деятельности, определению основных направлений;</w:t>
      </w:r>
    </w:p>
    <w:p w14:paraId="4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способствовать рациональному использованию финансовых средств.</w:t>
      </w:r>
    </w:p>
    <w:p w14:paraId="4B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Совет работает в контакте с администрацией, своевременно доводит все свои решения до сведения коллектива работников, обучающихся, их родителей (законных представителей).</w:t>
      </w:r>
    </w:p>
    <w:p w14:paraId="4C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Заседания Совета Учреждения проводятся по мере необходимости, но не реже 2-х раз в год. Решения Совета принимаются открытым голосованием. </w:t>
      </w:r>
      <w:r>
        <w:rPr>
          <w:rFonts w:ascii="Times New Roman" w:hAnsi="Times New Roman"/>
          <w:sz w:val="28"/>
        </w:rPr>
        <w:t>Заседания Совета протоколируются. Члены Совета работают на общественных началах. Решения Совета, принятые в рамках его полномочий и в соответствии с законодательством, обязательны для администрации, всех членов коллектива. Решения Совета являются правомочными, если на его заседании присутствовало не менее двух третей членов Совета.</w:t>
      </w:r>
    </w:p>
    <w:p w14:paraId="4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 </w:t>
      </w:r>
      <w:r>
        <w:rPr>
          <w:rFonts w:ascii="Times New Roman" w:hAnsi="Times New Roman"/>
          <w:b w:val="1"/>
          <w:sz w:val="28"/>
        </w:rPr>
        <w:t xml:space="preserve">Тренерско-педагогический совет. </w:t>
      </w:r>
      <w:r>
        <w:rPr>
          <w:rFonts w:ascii="Times New Roman" w:hAnsi="Times New Roman"/>
          <w:sz w:val="28"/>
        </w:rPr>
        <w:t xml:space="preserve"> Задачами тренерско-педагогического совета являются:</w:t>
      </w:r>
    </w:p>
    <w:p w14:paraId="4E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координация деятельности педагогических работников на выполнение поставленных задач перед школой;</w:t>
      </w:r>
    </w:p>
    <w:p w14:paraId="4F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мобилизация педагогических работников на совершенствование учебно-воспитательного процесса (учебных образовательных программ, форм и методов тренировочной деятельности и т.п.), профессионального мастерства;</w:t>
      </w:r>
    </w:p>
    <w:p w14:paraId="50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обобщение результатов деятельности педагогических работников по определенному направлению;</w:t>
      </w:r>
    </w:p>
    <w:p w14:paraId="51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выявление проблем и их решение;</w:t>
      </w:r>
    </w:p>
    <w:p w14:paraId="52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внедрение в практическую деятельность педагогических работников инновационных технологий (в том числе и информационных), достижений педагогической науки в области спорта.</w:t>
      </w:r>
    </w:p>
    <w:p w14:paraId="53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Тренерско-педагогический совет осуществляет следующие функции:</w:t>
      </w:r>
    </w:p>
    <w:p w14:paraId="54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обсуждает планы работы школы по организации учебно-воспитательного процесса;</w:t>
      </w:r>
    </w:p>
    <w:p w14:paraId="55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заслушивает информацию и отчеты педагогических работников по вопросам повышения качества обучения и воспитания обучающихся, по обмену опытом и методике подготовки спортсменов;</w:t>
      </w:r>
    </w:p>
    <w:p w14:paraId="56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оказывает помощь в организации участия тренеров-преподавателей в областных, всероссийских семинарах, конференциях, курсах с целью повышения своей квалификации;</w:t>
      </w:r>
    </w:p>
    <w:p w14:paraId="57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обсуждает вопросы о проведении аттестации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>;</w:t>
      </w:r>
    </w:p>
    <w:p w14:paraId="58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изучает нормативные акты, локальные акты школы и методические рекомендации, касающиеся организации учебно-воспитательного процесса;</w:t>
      </w:r>
    </w:p>
    <w:p w14:paraId="59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осуществляет работу по планированию, организации и проведению спортивно-массовых, оздоровительных мероприятий школы, района;</w:t>
      </w:r>
    </w:p>
    <w:p w14:paraId="5A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обсуждает тематику проведения открытых занятий;</w:t>
      </w:r>
    </w:p>
    <w:p w14:paraId="5B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выявляет, изучает и обобщает передовой опыт других тренеров-преподавателей, обсуждает пути для его дальнейшего использования;</w:t>
      </w:r>
    </w:p>
    <w:p w14:paraId="5C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разрабатывает методические рекомендации тренерам-преподавателям с целью эффективности и результативности их труда.</w:t>
      </w:r>
    </w:p>
    <w:p w14:paraId="5D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b w:val="1"/>
          <w:sz w:val="28"/>
        </w:rPr>
        <w:t xml:space="preserve">Родительский комитет. </w:t>
      </w:r>
      <w:r>
        <w:rPr>
          <w:rFonts w:ascii="Times New Roman" w:hAnsi="Times New Roman"/>
          <w:sz w:val="28"/>
        </w:rPr>
        <w:t>В его работе участвуют представители всех категорий субъектов образовательно-воспитательного процесса: тренеры-преподаватели, обучающиеся, родители.</w:t>
      </w:r>
    </w:p>
    <w:p w14:paraId="5E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Заседания проводятся не реже двух раз в год.</w:t>
      </w:r>
    </w:p>
    <w:p w14:paraId="5F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60000000">
      <w:pPr>
        <w:pStyle w:val="Style_2"/>
        <w:ind/>
        <w:jc w:val="both"/>
        <w:rPr>
          <w:rFonts w:ascii="Times New Roman" w:hAnsi="Times New Roman"/>
          <w:sz w:val="24"/>
        </w:rPr>
      </w:pPr>
    </w:p>
    <w:p w14:paraId="61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Образовательная деятельность</w:t>
      </w:r>
    </w:p>
    <w:p w14:paraId="62000000">
      <w:pPr>
        <w:spacing w:after="0" w:line="240" w:lineRule="auto"/>
        <w:ind w:firstLine="708" w:left="0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28"/>
        </w:rPr>
        <w:t>Учреждение самостоятельно осуществляет образовательный процесс в соответствии с лицензией.</w:t>
      </w:r>
    </w:p>
    <w:p w14:paraId="63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бюджетное учреждение дополнительного образования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 спортивная школа» находится в городе Красный Холм Тверской области и располагается в отдельном здании. Является единственным учреждением дополнительного образования спортивной направленности в городе и задействует 30% от общей численности детей школьного возраста. В течение последних лет количество обучающихся остается стабильным.</w:t>
      </w:r>
    </w:p>
    <w:p w14:paraId="64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МБУДО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СШ» организует занятость учащихся во внеурочное время в течение учебного года и во время школьных каникул.</w:t>
      </w:r>
    </w:p>
    <w:p w14:paraId="65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МБУДО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СШ» функционирует на основе социального заказа государства, общества, семьи с учетом интересов и потребностей личности, </w:t>
      </w:r>
      <w:r>
        <w:rPr>
          <w:rFonts w:ascii="Times New Roman" w:hAnsi="Times New Roman"/>
          <w:sz w:val="28"/>
        </w:rPr>
        <w:t>микросоциума</w:t>
      </w:r>
      <w:r>
        <w:rPr>
          <w:rFonts w:ascii="Times New Roman" w:hAnsi="Times New Roman"/>
          <w:sz w:val="28"/>
        </w:rPr>
        <w:t>, города,  культурных традиций и выполняет свою социальную роль, исходя из определенных педагогическим коллективом целей, задач, видов деятельности и требований законодательства к системе образования.</w:t>
      </w:r>
    </w:p>
    <w:p w14:paraId="66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Жизнедеятельность МБУДО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СШ» предполагает взаимодействие со всеми организациями, находящимися на территории Краснохолмского района. Руководитель и тренерско-преподавательский состав направляют свои усилия на то, чтобы обучающая воспитательная работа с детьми стала совместным делом СШ и других общественных и образовательных организаций. </w:t>
      </w:r>
    </w:p>
    <w:p w14:paraId="67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Определено право на ведение образовательной деятельности по </w:t>
      </w:r>
      <w:r>
        <w:rPr>
          <w:rFonts w:ascii="Times New Roman" w:hAnsi="Times New Roman"/>
          <w:sz w:val="28"/>
        </w:rPr>
        <w:t>общеразвивающим</w:t>
      </w:r>
      <w:r>
        <w:rPr>
          <w:rFonts w:ascii="Times New Roman" w:hAnsi="Times New Roman"/>
          <w:sz w:val="28"/>
        </w:rPr>
        <w:t xml:space="preserve"> программам по видам спорта. В СШ реализуется 8 </w:t>
      </w:r>
      <w:r>
        <w:rPr>
          <w:rFonts w:ascii="Times New Roman" w:hAnsi="Times New Roman"/>
          <w:sz w:val="28"/>
        </w:rPr>
        <w:t>общеразвивающих</w:t>
      </w:r>
      <w:r>
        <w:rPr>
          <w:rFonts w:ascii="Times New Roman" w:hAnsi="Times New Roman"/>
          <w:sz w:val="28"/>
        </w:rPr>
        <w:t xml:space="preserve"> программ (футбол, спортивная акробатика, </w:t>
      </w:r>
      <w:r>
        <w:rPr>
          <w:rFonts w:ascii="Times New Roman" w:hAnsi="Times New Roman"/>
          <w:sz w:val="28"/>
        </w:rPr>
        <w:t>волейбол</w:t>
      </w:r>
      <w:r>
        <w:rPr>
          <w:rFonts w:ascii="Times New Roman" w:hAnsi="Times New Roman"/>
          <w:sz w:val="28"/>
        </w:rPr>
        <w:t>,п</w:t>
      </w:r>
      <w:r>
        <w:rPr>
          <w:rFonts w:ascii="Times New Roman" w:hAnsi="Times New Roman"/>
          <w:sz w:val="28"/>
        </w:rPr>
        <w:t>аурлифтинг</w:t>
      </w:r>
      <w:r>
        <w:rPr>
          <w:rFonts w:ascii="Times New Roman" w:hAnsi="Times New Roman"/>
          <w:sz w:val="28"/>
        </w:rPr>
        <w:t xml:space="preserve">, настольный теннис, баскетбол, лыжные гонки). Количество групп и обучающихся </w:t>
      </w:r>
      <w:r>
        <w:rPr>
          <w:rFonts w:ascii="Times New Roman" w:hAnsi="Times New Roman"/>
          <w:sz w:val="28"/>
        </w:rPr>
        <w:t>представлены</w:t>
      </w:r>
      <w:r>
        <w:rPr>
          <w:rFonts w:ascii="Times New Roman" w:hAnsi="Times New Roman"/>
          <w:sz w:val="28"/>
        </w:rPr>
        <w:t xml:space="preserve"> в таблице. На момент </w:t>
      </w:r>
      <w:r>
        <w:rPr>
          <w:rFonts w:ascii="Times New Roman" w:hAnsi="Times New Roman"/>
          <w:sz w:val="28"/>
        </w:rPr>
        <w:t>самообследования</w:t>
      </w:r>
      <w:r>
        <w:rPr>
          <w:rFonts w:ascii="Times New Roman" w:hAnsi="Times New Roman"/>
          <w:sz w:val="28"/>
        </w:rPr>
        <w:t xml:space="preserve"> контингент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составил 243 обучающихся. Форма обучения очная. Возраст обучающихся от 5 до 18 лет. Нормативной базой для приема служит действующее законодательство, Устав СШ, Правила приема в МБУДО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СШ».</w:t>
      </w:r>
    </w:p>
    <w:p w14:paraId="68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4"/>
        </w:rPr>
      </w:pPr>
    </w:p>
    <w:p w14:paraId="69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4"/>
        </w:rPr>
      </w:pPr>
    </w:p>
    <w:p w14:paraId="6A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4"/>
        </w:rPr>
      </w:pPr>
    </w:p>
    <w:p w14:paraId="6B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4"/>
        </w:rPr>
      </w:pPr>
    </w:p>
    <w:p w14:paraId="6C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4"/>
        </w:rPr>
      </w:pPr>
    </w:p>
    <w:tbl>
      <w:tblPr>
        <w:tblStyle w:val="Style_4"/>
        <w:tblW w:type="auto" w:w="0"/>
        <w:tblLayout w:type="fixed"/>
      </w:tblPr>
      <w:tblGrid>
        <w:gridCol w:w="1520"/>
        <w:gridCol w:w="5112"/>
        <w:gridCol w:w="3503"/>
      </w:tblGrid>
      <w:tr>
        <w:trPr>
          <w:trHeight w:hRule="atLeast" w:val="1296"/>
        </w:trPr>
        <w:tc>
          <w:tcPr>
            <w:tcW w:type="dxa" w:w="1520"/>
          </w:tcPr>
          <w:p w14:paraId="6D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</w:p>
          <w:p w14:paraId="6E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8"/>
              </w:rPr>
              <w:t>п</w:t>
            </w:r>
            <w:r>
              <w:rPr>
                <w:rFonts w:ascii="Times New Roman" w:hAnsi="Times New Roman"/>
                <w:b w:val="1"/>
                <w:sz w:val="28"/>
              </w:rPr>
              <w:t>/</w:t>
            </w:r>
            <w:r>
              <w:rPr>
                <w:rFonts w:ascii="Times New Roman" w:hAnsi="Times New Roman"/>
                <w:b w:val="1"/>
                <w:sz w:val="28"/>
              </w:rPr>
              <w:t>п</w:t>
            </w:r>
          </w:p>
          <w:p w14:paraId="6F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type="dxa" w:w="5112"/>
          </w:tcPr>
          <w:p w14:paraId="70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</w:p>
          <w:p w14:paraId="71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Вид спорта</w:t>
            </w:r>
          </w:p>
        </w:tc>
        <w:tc>
          <w:tcPr>
            <w:tcW w:type="dxa" w:w="3503"/>
          </w:tcPr>
          <w:p w14:paraId="72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Кол-во</w:t>
            </w:r>
          </w:p>
          <w:p w14:paraId="73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учащихся</w:t>
            </w:r>
          </w:p>
        </w:tc>
      </w:tr>
      <w:tr>
        <w:trPr>
          <w:trHeight w:hRule="atLeast" w:val="549"/>
        </w:trPr>
        <w:tc>
          <w:tcPr>
            <w:tcW w:type="dxa" w:w="1520"/>
          </w:tcPr>
          <w:p w14:paraId="74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5112"/>
          </w:tcPr>
          <w:p w14:paraId="75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Футбол</w:t>
            </w:r>
          </w:p>
        </w:tc>
        <w:tc>
          <w:tcPr>
            <w:tcW w:type="dxa" w:w="3503"/>
          </w:tcPr>
          <w:p w14:paraId="76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</w:p>
        </w:tc>
      </w:tr>
      <w:tr>
        <w:trPr>
          <w:trHeight w:hRule="atLeast" w:val="655"/>
        </w:trPr>
        <w:tc>
          <w:tcPr>
            <w:tcW w:type="dxa" w:w="1520"/>
          </w:tcPr>
          <w:p w14:paraId="77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5112"/>
          </w:tcPr>
          <w:p w14:paraId="78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Паурлифтинг</w:t>
            </w:r>
          </w:p>
        </w:tc>
        <w:tc>
          <w:tcPr>
            <w:tcW w:type="dxa" w:w="3503"/>
          </w:tcPr>
          <w:p w14:paraId="79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</w:p>
        </w:tc>
      </w:tr>
      <w:tr>
        <w:trPr>
          <w:trHeight w:hRule="atLeast" w:val="396"/>
        </w:trPr>
        <w:tc>
          <w:tcPr>
            <w:tcW w:type="dxa" w:w="1520"/>
            <w:tcBorders>
              <w:bottom w:color="000000" w:sz="4" w:val="single"/>
            </w:tcBorders>
          </w:tcPr>
          <w:p w14:paraId="7A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5112"/>
            <w:tcBorders>
              <w:bottom w:color="000000" w:sz="4" w:val="single"/>
            </w:tcBorders>
          </w:tcPr>
          <w:p w14:paraId="7B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Настольный теннис</w:t>
            </w:r>
          </w:p>
        </w:tc>
        <w:tc>
          <w:tcPr>
            <w:tcW w:type="dxa" w:w="3503"/>
            <w:tcBorders>
              <w:bottom w:color="000000" w:sz="4" w:val="single"/>
            </w:tcBorders>
            <w:vAlign w:val="center"/>
          </w:tcPr>
          <w:p w14:paraId="7C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</w:tr>
      <w:tr>
        <w:trPr>
          <w:trHeight w:hRule="atLeast" w:val="272"/>
        </w:trPr>
        <w:tc>
          <w:tcPr>
            <w:tcW w:type="dxa" w:w="1520"/>
            <w:tcBorders>
              <w:top w:color="000000" w:sz="4" w:val="single"/>
            </w:tcBorders>
          </w:tcPr>
          <w:p w14:paraId="7D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5112"/>
            <w:tcBorders>
              <w:top w:color="000000" w:sz="4" w:val="single"/>
            </w:tcBorders>
          </w:tcPr>
          <w:p w14:paraId="7E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Волейбол</w:t>
            </w:r>
          </w:p>
        </w:tc>
        <w:tc>
          <w:tcPr>
            <w:tcW w:type="dxa" w:w="3503"/>
            <w:tcBorders>
              <w:top w:color="000000" w:sz="4" w:val="single"/>
            </w:tcBorders>
          </w:tcPr>
          <w:p w14:paraId="7F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</w:t>
            </w:r>
          </w:p>
        </w:tc>
      </w:tr>
      <w:tr>
        <w:trPr>
          <w:trHeight w:hRule="atLeast" w:val="290"/>
        </w:trPr>
        <w:tc>
          <w:tcPr>
            <w:tcW w:type="dxa" w:w="1520"/>
            <w:tcBorders>
              <w:top w:color="000000" w:sz="4" w:val="single"/>
              <w:bottom w:color="000000" w:sz="4" w:val="single"/>
            </w:tcBorders>
          </w:tcPr>
          <w:p w14:paraId="80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type="dxa" w:w="5112"/>
            <w:tcBorders>
              <w:top w:color="000000" w:sz="4" w:val="single"/>
              <w:bottom w:color="000000" w:sz="4" w:val="single"/>
            </w:tcBorders>
          </w:tcPr>
          <w:p w14:paraId="81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Спортивная акробатика</w:t>
            </w:r>
          </w:p>
        </w:tc>
        <w:tc>
          <w:tcPr>
            <w:tcW w:type="dxa" w:w="3503"/>
            <w:tcBorders>
              <w:top w:color="000000" w:sz="4" w:val="single"/>
              <w:bottom w:color="000000" w:sz="4" w:val="single"/>
            </w:tcBorders>
          </w:tcPr>
          <w:p w14:paraId="82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</w:p>
        </w:tc>
      </w:tr>
      <w:tr>
        <w:trPr>
          <w:trHeight w:hRule="atLeast" w:val="290"/>
        </w:trPr>
        <w:tc>
          <w:tcPr>
            <w:tcW w:type="dxa" w:w="1520"/>
            <w:tcBorders>
              <w:top w:color="000000" w:sz="4" w:val="single"/>
              <w:bottom w:color="000000" w:sz="4" w:val="single"/>
            </w:tcBorders>
          </w:tcPr>
          <w:p w14:paraId="83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type="dxa" w:w="5112"/>
            <w:tcBorders>
              <w:top w:color="000000" w:sz="4" w:val="single"/>
              <w:bottom w:color="000000" w:sz="4" w:val="single"/>
            </w:tcBorders>
          </w:tcPr>
          <w:p w14:paraId="84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Баскетбол</w:t>
            </w:r>
          </w:p>
        </w:tc>
        <w:tc>
          <w:tcPr>
            <w:tcW w:type="dxa" w:w="3503"/>
            <w:tcBorders>
              <w:top w:color="000000" w:sz="4" w:val="single"/>
              <w:bottom w:color="000000" w:sz="4" w:val="single"/>
            </w:tcBorders>
          </w:tcPr>
          <w:p w14:paraId="85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</w:tr>
      <w:tr>
        <w:trPr>
          <w:trHeight w:hRule="atLeast" w:val="290"/>
        </w:trPr>
        <w:tc>
          <w:tcPr>
            <w:tcW w:type="dxa" w:w="1520"/>
            <w:tcBorders>
              <w:top w:color="000000" w:sz="4" w:val="single"/>
              <w:bottom w:color="000000" w:sz="4" w:val="single"/>
            </w:tcBorders>
          </w:tcPr>
          <w:p w14:paraId="86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type="dxa" w:w="5112"/>
            <w:tcBorders>
              <w:top w:color="000000" w:sz="4" w:val="single"/>
              <w:bottom w:color="000000" w:sz="4" w:val="single"/>
            </w:tcBorders>
          </w:tcPr>
          <w:p w14:paraId="87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Лыжные гонки</w:t>
            </w:r>
          </w:p>
        </w:tc>
        <w:tc>
          <w:tcPr>
            <w:tcW w:type="dxa" w:w="3503"/>
            <w:tcBorders>
              <w:top w:color="000000" w:sz="4" w:val="single"/>
              <w:bottom w:color="000000" w:sz="4" w:val="single"/>
            </w:tcBorders>
          </w:tcPr>
          <w:p w14:paraId="88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>
        <w:trPr>
          <w:trHeight w:hRule="atLeast" w:val="290"/>
        </w:trPr>
        <w:tc>
          <w:tcPr>
            <w:tcW w:type="dxa" w:w="1520"/>
            <w:tcBorders>
              <w:top w:color="000000" w:sz="4" w:val="single"/>
            </w:tcBorders>
          </w:tcPr>
          <w:p w14:paraId="89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type="dxa" w:w="5112"/>
            <w:tcBorders>
              <w:top w:color="000000" w:sz="4" w:val="single"/>
            </w:tcBorders>
          </w:tcPr>
          <w:p w14:paraId="8A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Первые шаги ГТО</w:t>
            </w:r>
          </w:p>
        </w:tc>
        <w:tc>
          <w:tcPr>
            <w:tcW w:type="dxa" w:w="3503"/>
            <w:tcBorders>
              <w:top w:color="000000" w:sz="4" w:val="single"/>
            </w:tcBorders>
          </w:tcPr>
          <w:p w14:paraId="8B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90</w:t>
            </w:r>
          </w:p>
        </w:tc>
      </w:tr>
    </w:tbl>
    <w:p w14:paraId="8C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b w:val="1"/>
          <w:sz w:val="24"/>
        </w:rPr>
        <w:t>243</w:t>
      </w:r>
    </w:p>
    <w:p w14:paraId="8D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4"/>
        </w:rPr>
      </w:pPr>
    </w:p>
    <w:p w14:paraId="8E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Цели деятельности Учреждения: </w:t>
      </w:r>
      <w:r>
        <w:rPr>
          <w:rFonts w:ascii="Times New Roman" w:hAnsi="Times New Roman"/>
          <w:sz w:val="28"/>
        </w:rPr>
        <w:t xml:space="preserve">создание организационно – педагогических условий для профессионального, социального, личностного самоопределения, самореализации и развития ребенка. </w:t>
      </w:r>
    </w:p>
    <w:p w14:paraId="8F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Основная цель конкретизируется следующими </w:t>
      </w:r>
      <w:r>
        <w:rPr>
          <w:rFonts w:ascii="Times New Roman" w:hAnsi="Times New Roman"/>
          <w:b w:val="1"/>
          <w:i w:val="1"/>
          <w:sz w:val="28"/>
        </w:rPr>
        <w:t>задачами</w:t>
      </w:r>
      <w:r>
        <w:rPr>
          <w:rFonts w:ascii="Times New Roman" w:hAnsi="Times New Roman"/>
          <w:b w:val="1"/>
          <w:sz w:val="28"/>
        </w:rPr>
        <w:t>:</w:t>
      </w:r>
    </w:p>
    <w:p w14:paraId="90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создать условия для проявления и развития разнообразных индивидуальных способностей детей; </w:t>
      </w:r>
    </w:p>
    <w:p w14:paraId="91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воспитать и практически подготовить свободного, самостоятельного, творческого, профессионально – ориентированного гражданина, способного к сотрудничеству в интересах человека, общества, государства; </w:t>
      </w:r>
    </w:p>
    <w:p w14:paraId="92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развивать и реализовать интеллектуальный потенциал, творческих, физических способностей личности ребенка, сформировать интерес и мотивировать к творческой и исследовательской деятельности; </w:t>
      </w:r>
    </w:p>
    <w:p w14:paraId="93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раскрыть и реализовать творческий потенциал педагога; </w:t>
      </w:r>
    </w:p>
    <w:p w14:paraId="94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вовлекать максимально возможное число детей в систематические занятия спортом, выявлять их склонность и пригодность для дальнейших занятий спортом, воспитывать устойчивый интерес к ним; </w:t>
      </w:r>
    </w:p>
    <w:p w14:paraId="95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создать благоприятные условия для повышения качества </w:t>
      </w:r>
      <w:r>
        <w:rPr>
          <w:rFonts w:ascii="Times New Roman" w:hAnsi="Times New Roman"/>
          <w:sz w:val="28"/>
        </w:rPr>
        <w:t>учебно</w:t>
      </w:r>
      <w:r>
        <w:rPr>
          <w:rFonts w:ascii="Times New Roman" w:hAnsi="Times New Roman"/>
          <w:sz w:val="28"/>
        </w:rPr>
        <w:t xml:space="preserve"> - тренировочного</w:t>
      </w:r>
      <w:r>
        <w:rPr>
          <w:rFonts w:ascii="Times New Roman" w:hAnsi="Times New Roman"/>
          <w:sz w:val="28"/>
        </w:rPr>
        <w:t xml:space="preserve"> процесса; </w:t>
      </w:r>
    </w:p>
    <w:p w14:paraId="96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содействовать выработки у учащихся привычки к регулярным занятиям спортом; </w:t>
      </w:r>
    </w:p>
    <w:p w14:paraId="97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сформировать у детей потребности в здоровом образе жизни, осуществлять гармоничное развитие личности, воспитывать ответственность и профессиональное самоопределение в соответствии с индивидуальными способностями обучающихся;</w:t>
      </w:r>
    </w:p>
    <w:p w14:paraId="98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развивать положительную мотивацию в преодолении трудностей через воспитание моральных и волевых качеств; </w:t>
      </w:r>
    </w:p>
    <w:p w14:paraId="99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развивать и совершенствовать уровень общей и специальной подготовки на соответствующих этапах подготовки.</w:t>
      </w:r>
    </w:p>
    <w:p w14:paraId="9A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4"/>
        </w:rPr>
      </w:pPr>
    </w:p>
    <w:p w14:paraId="9B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4"/>
        </w:rPr>
      </w:pPr>
    </w:p>
    <w:p w14:paraId="9C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4"/>
        </w:rPr>
      </w:pPr>
    </w:p>
    <w:p w14:paraId="9D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4"/>
        </w:rPr>
      </w:pPr>
    </w:p>
    <w:p w14:paraId="9E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4"/>
        </w:rPr>
      </w:pPr>
    </w:p>
    <w:p w14:paraId="9F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Приоритетные направления работы МБУДО «</w:t>
      </w:r>
      <w:r>
        <w:rPr>
          <w:rFonts w:ascii="Times New Roman" w:hAnsi="Times New Roman"/>
          <w:b w:val="1"/>
          <w:i w:val="1"/>
          <w:sz w:val="28"/>
        </w:rPr>
        <w:t>Краснохолмская</w:t>
      </w:r>
      <w:r>
        <w:rPr>
          <w:rFonts w:ascii="Times New Roman" w:hAnsi="Times New Roman"/>
          <w:b w:val="1"/>
          <w:i w:val="1"/>
          <w:sz w:val="28"/>
        </w:rPr>
        <w:t xml:space="preserve"> СШ»: </w:t>
      </w:r>
    </w:p>
    <w:p w14:paraId="A0000000">
      <w:pPr>
        <w:pStyle w:val="Style_2"/>
        <w:numPr>
          <w:ilvl w:val="0"/>
          <w:numId w:val="1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Организационная работа:</w:t>
      </w:r>
    </w:p>
    <w:p w14:paraId="A1000000">
      <w:pPr>
        <w:pStyle w:val="Style_2"/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постановка учебно-тренировочного процесса</w:t>
      </w:r>
    </w:p>
    <w:p w14:paraId="A2000000">
      <w:pPr>
        <w:pStyle w:val="Style_2"/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• воспитательная работа </w:t>
      </w:r>
    </w:p>
    <w:p w14:paraId="A3000000">
      <w:pPr>
        <w:pStyle w:val="Style_2"/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• повышение квалификации </w:t>
      </w:r>
    </w:p>
    <w:p w14:paraId="A4000000">
      <w:pPr>
        <w:pStyle w:val="Style_2"/>
        <w:numPr>
          <w:ilvl w:val="0"/>
          <w:numId w:val="1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Агитационно</w:t>
      </w:r>
      <w:r>
        <w:rPr>
          <w:rFonts w:ascii="Times New Roman" w:hAnsi="Times New Roman"/>
          <w:sz w:val="28"/>
        </w:rPr>
        <w:t xml:space="preserve"> - пропагандистская работа </w:t>
      </w:r>
    </w:p>
    <w:p w14:paraId="A5000000">
      <w:pPr>
        <w:pStyle w:val="Style_2"/>
        <w:numPr>
          <w:ilvl w:val="0"/>
          <w:numId w:val="1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Работа с общеобразовательной школой </w:t>
      </w:r>
    </w:p>
    <w:p w14:paraId="A6000000">
      <w:pPr>
        <w:pStyle w:val="Style_2"/>
        <w:numPr>
          <w:ilvl w:val="0"/>
          <w:numId w:val="1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Финансово-хозяйственная работа </w:t>
      </w:r>
    </w:p>
    <w:p w14:paraId="A7000000">
      <w:pPr>
        <w:pStyle w:val="Style_2"/>
        <w:numPr>
          <w:ilvl w:val="0"/>
          <w:numId w:val="1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Внутришкольный</w:t>
      </w:r>
      <w:r>
        <w:rPr>
          <w:rFonts w:ascii="Times New Roman" w:hAnsi="Times New Roman"/>
          <w:sz w:val="28"/>
        </w:rPr>
        <w:t xml:space="preserve"> контроль</w:t>
      </w:r>
    </w:p>
    <w:p w14:paraId="A8000000">
      <w:pPr>
        <w:pStyle w:val="Style_2"/>
        <w:spacing w:line="240" w:lineRule="auto"/>
        <w:ind/>
        <w:jc w:val="both"/>
        <w:rPr>
          <w:rFonts w:ascii="Times New Roman" w:hAnsi="Times New Roman"/>
          <w:sz w:val="28"/>
        </w:rPr>
      </w:pPr>
    </w:p>
    <w:p w14:paraId="A9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 компетенции Учреждения относятся:</w:t>
      </w:r>
    </w:p>
    <w:p w14:paraId="AA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осуществление образовательного процесса, подбор и расстановка кадров, научной, финансовой, хозяйственной и иной деятельности в пределах, установленных законодательством Российской Федерации; </w:t>
      </w:r>
    </w:p>
    <w:p w14:paraId="AB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материально-техническое обеспечение и оснащение образовательного процесса, оборудование помещений в соответствии с государственными и местными нормами и требованиями, осуществляемое в пределах финансовых средств, находящихся в распоряжении Учреждения;</w:t>
      </w:r>
    </w:p>
    <w:p w14:paraId="AC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предоставление Учредителю и общественности ежегодного отчета о поступлении и расходовании финансовых и материальных средств; </w:t>
      </w:r>
    </w:p>
    <w:p w14:paraId="AD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подбор, прием на работу и расстановка кадров; ответственность за уровень их квалификации; </w:t>
      </w:r>
    </w:p>
    <w:p w14:paraId="AE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разработка и утверждение образовательных программ и учебных планов;</w:t>
      </w:r>
    </w:p>
    <w:p w14:paraId="AF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разработка и утверждение годовых календарных учебных графиков; </w:t>
      </w:r>
    </w:p>
    <w:p w14:paraId="B0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установление структуры управления деятельностью Учреждения, штатного расписания, распределение должностных обязанностей;</w:t>
      </w:r>
    </w:p>
    <w:p w14:paraId="B1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разработка и принятие правил внутреннего трудового распорядка Учреждения, иных локальных актов;</w:t>
      </w:r>
    </w:p>
    <w:p w14:paraId="B2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выбор форм, методов и средств организации образовательного процесса; </w:t>
      </w:r>
    </w:p>
    <w:p w14:paraId="B3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определение формы, порядка и периодичности промежуточной сдачи контрольн</w:t>
      </w:r>
      <w:r>
        <w:rPr>
          <w:rFonts w:ascii="Times New Roman" w:hAnsi="Times New Roman"/>
          <w:sz w:val="28"/>
        </w:rPr>
        <w:t>о-</w:t>
      </w:r>
      <w:r>
        <w:rPr>
          <w:rFonts w:ascii="Times New Roman" w:hAnsi="Times New Roman"/>
          <w:sz w:val="28"/>
        </w:rPr>
        <w:t xml:space="preserve"> переводных нормативов по общей физической подготовке, специальной физической подготовке и технико-тактической подготовке; </w:t>
      </w:r>
    </w:p>
    <w:p w14:paraId="B4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проведение традиционных мероприятий и соревнований среди обучающихся (воспитанников) Учреждения, </w:t>
      </w:r>
      <w:r>
        <w:rPr>
          <w:rFonts w:ascii="Times New Roman" w:hAnsi="Times New Roman"/>
          <w:sz w:val="28"/>
        </w:rPr>
        <w:t>согласно</w:t>
      </w:r>
      <w:r>
        <w:rPr>
          <w:rFonts w:ascii="Times New Roman" w:hAnsi="Times New Roman"/>
          <w:sz w:val="28"/>
        </w:rPr>
        <w:t xml:space="preserve"> утвержденного плана работы;</w:t>
      </w:r>
    </w:p>
    <w:p w14:paraId="B5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участие в летней оздоровительной кампании, организации досуга обучающихся (воспитанников); </w:t>
      </w:r>
    </w:p>
    <w:p w14:paraId="B6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Учреждение обеспечивает создание и ведение официального сайта в сети Интернет. </w:t>
      </w:r>
    </w:p>
    <w:p w14:paraId="B7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8"/>
        </w:rPr>
      </w:pPr>
    </w:p>
    <w:p w14:paraId="B8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8"/>
        </w:rPr>
      </w:pPr>
    </w:p>
    <w:p w14:paraId="B9000000">
      <w:pPr>
        <w:pStyle w:val="Style_2"/>
        <w:spacing w:line="240" w:lineRule="auto"/>
        <w:ind w:firstLine="0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Уровень и направленность образовательных программ</w:t>
      </w:r>
    </w:p>
    <w:p w14:paraId="BA000000">
      <w:pPr>
        <w:pStyle w:val="Style_2"/>
        <w:spacing w:line="240" w:lineRule="auto"/>
        <w:ind w:firstLine="0" w:left="0"/>
        <w:jc w:val="center"/>
        <w:rPr>
          <w:rFonts w:ascii="Times New Roman" w:hAnsi="Times New Roman"/>
          <w:b w:val="1"/>
          <w:sz w:val="28"/>
        </w:rPr>
      </w:pPr>
    </w:p>
    <w:p w14:paraId="BB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ЭНП – этап начальной подготовки.</w:t>
      </w:r>
      <w:r>
        <w:rPr>
          <w:rFonts w:ascii="Times New Roman" w:hAnsi="Times New Roman"/>
          <w:sz w:val="28"/>
        </w:rPr>
        <w:t xml:space="preserve"> В группы начальной подготовки принимаются все желающие, прошедшие медицинский осмотр и не имеющие противопоказаний для занятия. На этапе начальной подготовки осуществляется физкультурно-оздоровительная работа, направленная на укрепление здоровья и закаливание, развитие основных двигательных каче</w:t>
      </w:r>
      <w:r>
        <w:rPr>
          <w:rFonts w:ascii="Times New Roman" w:hAnsi="Times New Roman"/>
          <w:sz w:val="28"/>
        </w:rPr>
        <w:t>ств с пр</w:t>
      </w:r>
      <w:r>
        <w:rPr>
          <w:rFonts w:ascii="Times New Roman" w:hAnsi="Times New Roman"/>
          <w:sz w:val="28"/>
        </w:rPr>
        <w:t xml:space="preserve">еимущественным развитием скоростно-силовых качеств, ловкости и общей выносливости, овладение основным арсеналом двигательных навыков, участие в различных соревнованиях, разностороннюю общефизическую подготовку. </w:t>
      </w:r>
    </w:p>
    <w:p w14:paraId="BC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ТЭ – тренировочный этап.</w:t>
      </w:r>
      <w:r>
        <w:rPr>
          <w:rFonts w:ascii="Times New Roman" w:hAnsi="Times New Roman"/>
          <w:sz w:val="28"/>
        </w:rPr>
        <w:t xml:space="preserve"> Тренировочная группа формируется из числа учащихся, прошедших медицинский осмотр и не имеющих противопоказаний для занятия спортом. Комплектация групп проводится на конкурсной основе из детей, прошедших индивидуальный отбор и выполнивших контрольные нормативы по физической подготовке. Перевод учащихся по годам обучения (на следующий этап) осуществляется при условии выполнения контрольных нормативов по физической подготовке и теоретической подготовке.</w:t>
      </w:r>
    </w:p>
    <w:p w14:paraId="BD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highlight w:val="white"/>
        </w:rPr>
        <w:t>СС</w:t>
      </w:r>
      <w:r>
        <w:rPr>
          <w:rFonts w:ascii="Times New Roman" w:hAnsi="Times New Roman"/>
          <w:b w:val="1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 xml:space="preserve">– </w:t>
      </w:r>
      <w:r>
        <w:rPr>
          <w:rFonts w:ascii="Times New Roman" w:hAnsi="Times New Roman"/>
          <w:b w:val="1"/>
          <w:sz w:val="28"/>
          <w:highlight w:val="white"/>
        </w:rPr>
        <w:t>спортивная подготовка</w:t>
      </w:r>
      <w:r>
        <w:rPr>
          <w:rFonts w:ascii="Times New Roman" w:hAnsi="Times New Roman"/>
          <w:sz w:val="28"/>
          <w:highlight w:val="white"/>
        </w:rPr>
        <w:t xml:space="preserve"> .</w:t>
      </w:r>
      <w:r>
        <w:rPr>
          <w:rFonts w:ascii="Times New Roman" w:hAnsi="Times New Roman"/>
          <w:sz w:val="28"/>
          <w:highlight w:val="white"/>
        </w:rPr>
        <w:t>Этап специализированной спортивной подготовки с учетом индивидуальных особенностей перспективных спортсменов для достижения ими высоких стабильных результатов</w:t>
      </w:r>
      <w:r>
        <w:rPr>
          <w:rFonts w:ascii="Times New Roman" w:hAnsi="Times New Roman"/>
          <w:sz w:val="28"/>
        </w:rPr>
        <w:t xml:space="preserve"> </w:t>
      </w:r>
    </w:p>
    <w:p w14:paraId="BE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Основные направления тренировки:</w:t>
      </w:r>
      <w:r>
        <w:rPr>
          <w:rFonts w:ascii="Times New Roman" w:hAnsi="Times New Roman"/>
          <w:sz w:val="28"/>
        </w:rPr>
        <w:t xml:space="preserve"> на этом этапе подготовки решаются задачи - укрепление здоровья и дальнейшее развитие основных двигательных качеств с акцентом на развитие силы, быстроты, общей и специальной выносливости. Физическая подготовка на этом этапе становится более целенаправленной. В зависимости от года обучения делают акцент на воспитание определенных качеств, выделяя общую и специальную физическую подготовку. Общая физическая подготовка – предусматривает всестороннее развитие двигательных качеств, функциональных возможностей. Специальная физическая подготовка – развитие качеств и функциональных возможностей. На этом этапе обучения происходит овладение </w:t>
      </w:r>
      <w:r>
        <w:rPr>
          <w:rFonts w:ascii="Times New Roman" w:hAnsi="Times New Roman"/>
          <w:sz w:val="28"/>
        </w:rPr>
        <w:t>тактико</w:t>
      </w:r>
      <w:r>
        <w:rPr>
          <w:rFonts w:ascii="Times New Roman" w:hAnsi="Times New Roman"/>
          <w:sz w:val="28"/>
        </w:rPr>
        <w:t xml:space="preserve"> – технической подготовкой, совершенствование двигательных навыков, развитие волевых качеств, воспитание судейских и инструкторских навыков, совершенствование навыков самостоятельных занятий, участие в соревнованиях. На всех этапах занятий должен идти непрерывный процесс обучения и совершенствования технической подготовки спортсменов. </w:t>
      </w:r>
    </w:p>
    <w:p w14:paraId="BF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Участие в соревнованиях</w:t>
      </w:r>
      <w:r>
        <w:rPr>
          <w:rFonts w:ascii="Times New Roman" w:hAnsi="Times New Roman"/>
          <w:sz w:val="28"/>
        </w:rPr>
        <w:t xml:space="preserve"> – главная цель подготовки юного спортсмена. </w:t>
      </w:r>
      <w:r>
        <w:rPr>
          <w:rFonts w:ascii="Times New Roman" w:hAnsi="Times New Roman"/>
          <w:sz w:val="28"/>
        </w:rPr>
        <w:t>Следует учитывать, что при участии в соревнованиях у занимающих совершенствуется весь комплекс подготовки: техническая, тактическая, физическая, волевая подготовка, а также навыки судейской и инструкторской деятельности.</w:t>
      </w:r>
      <w:r>
        <w:rPr>
          <w:rFonts w:ascii="Times New Roman" w:hAnsi="Times New Roman"/>
          <w:sz w:val="28"/>
        </w:rPr>
        <w:t xml:space="preserve"> Все занимающиеся должны получить элементарные навыки судейства по избранному виду спорта и навыки инструкторской деятельности.</w:t>
      </w:r>
    </w:p>
    <w:p w14:paraId="C0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</w:p>
    <w:p w14:paraId="C1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</w:p>
    <w:p w14:paraId="C2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</w:p>
    <w:p w14:paraId="C3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</w:p>
    <w:p w14:paraId="C4000000">
      <w:pPr>
        <w:pStyle w:val="Style_2"/>
        <w:spacing w:line="240" w:lineRule="auto"/>
        <w:ind w:firstLine="708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Кадровое обеспечение МБУДО «</w:t>
      </w:r>
      <w:r>
        <w:rPr>
          <w:rFonts w:ascii="Times New Roman" w:hAnsi="Times New Roman"/>
          <w:b w:val="1"/>
          <w:sz w:val="28"/>
        </w:rPr>
        <w:t>Краснохолмская</w:t>
      </w:r>
      <w:r>
        <w:rPr>
          <w:rFonts w:ascii="Times New Roman" w:hAnsi="Times New Roman"/>
          <w:b w:val="1"/>
          <w:sz w:val="28"/>
        </w:rPr>
        <w:t xml:space="preserve"> СШ»</w:t>
      </w:r>
    </w:p>
    <w:p w14:paraId="C5000000">
      <w:pPr>
        <w:pStyle w:val="Style_2"/>
        <w:spacing w:line="240" w:lineRule="auto"/>
        <w:ind w:firstLine="708" w:left="0"/>
        <w:jc w:val="center"/>
        <w:rPr>
          <w:rFonts w:ascii="Times New Roman" w:hAnsi="Times New Roman"/>
          <w:b w:val="1"/>
          <w:sz w:val="28"/>
        </w:rPr>
      </w:pPr>
    </w:p>
    <w:p w14:paraId="C6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школе работает 4 педагогических работников. Из них </w:t>
      </w:r>
      <w:r>
        <w:rPr>
          <w:rFonts w:ascii="Times New Roman" w:hAnsi="Times New Roman"/>
          <w:sz w:val="28"/>
        </w:rPr>
        <w:t>штатных работников - 4 чел. Два</w:t>
      </w:r>
      <w:r>
        <w:rPr>
          <w:rFonts w:ascii="Times New Roman" w:hAnsi="Times New Roman"/>
          <w:sz w:val="28"/>
        </w:rPr>
        <w:t xml:space="preserve"> тренера-преподавателя</w:t>
      </w:r>
      <w:r>
        <w:rPr>
          <w:rFonts w:ascii="Times New Roman" w:hAnsi="Times New Roman"/>
          <w:sz w:val="28"/>
        </w:rPr>
        <w:t xml:space="preserve"> ,</w:t>
      </w:r>
      <w:r>
        <w:rPr>
          <w:rFonts w:ascii="Times New Roman" w:hAnsi="Times New Roman"/>
          <w:sz w:val="28"/>
        </w:rPr>
        <w:t xml:space="preserve"> работающие в школе, имею</w:t>
      </w:r>
      <w:r>
        <w:rPr>
          <w:rFonts w:ascii="Times New Roman" w:hAnsi="Times New Roman"/>
          <w:sz w:val="28"/>
        </w:rPr>
        <w:t>т высшее педагогическое образ</w:t>
      </w:r>
      <w:r>
        <w:rPr>
          <w:rFonts w:ascii="Times New Roman" w:hAnsi="Times New Roman"/>
          <w:sz w:val="28"/>
        </w:rPr>
        <w:t>ование, что составляет 50</w:t>
      </w:r>
    </w:p>
    <w:p w14:paraId="C7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%. Курсы повышения квалификации педагогическими работниками МБУДО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СШ» проходятся согласно графику. Педагогов школы имеющих стаж педа</w:t>
      </w:r>
      <w:r>
        <w:rPr>
          <w:rFonts w:ascii="Times New Roman" w:hAnsi="Times New Roman"/>
          <w:sz w:val="28"/>
        </w:rPr>
        <w:t>гогической работы до 3-х лет – 1</w:t>
      </w:r>
      <w:r>
        <w:rPr>
          <w:rFonts w:ascii="Times New Roman" w:hAnsi="Times New Roman"/>
          <w:sz w:val="28"/>
        </w:rPr>
        <w:t xml:space="preserve"> (50%), от 2-х до 5-тилет – 1 (25 %), от 5 до 10 ле</w:t>
      </w:r>
      <w:r>
        <w:rPr>
          <w:rFonts w:ascii="Times New Roman" w:hAnsi="Times New Roman"/>
          <w:sz w:val="28"/>
        </w:rPr>
        <w:t>т – 2</w:t>
      </w:r>
      <w:r>
        <w:rPr>
          <w:rFonts w:ascii="Times New Roman" w:hAnsi="Times New Roman"/>
          <w:sz w:val="28"/>
        </w:rPr>
        <w:t xml:space="preserve"> (25%). Сами тренеры - преподаватели продолжают поддерживать свою спортивную форму, участвуя в районных и областных соревнованиях, </w:t>
      </w:r>
      <w:r>
        <w:rPr>
          <w:rFonts w:ascii="Times New Roman" w:hAnsi="Times New Roman"/>
          <w:sz w:val="28"/>
        </w:rPr>
        <w:t xml:space="preserve">защищая честь района и занимая призовые места. В состав сборных мужских и женских команд входят и учащиеся старших тренировочных групп СШ. </w:t>
      </w:r>
    </w:p>
    <w:p w14:paraId="C8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</w:p>
    <w:p w14:paraId="C9000000">
      <w:pPr>
        <w:pStyle w:val="Style_2"/>
        <w:spacing w:line="240" w:lineRule="auto"/>
        <w:ind w:firstLine="708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Внутришкольный</w:t>
      </w:r>
      <w:r>
        <w:rPr>
          <w:rFonts w:ascii="Times New Roman" w:hAnsi="Times New Roman"/>
          <w:b w:val="1"/>
          <w:sz w:val="28"/>
        </w:rPr>
        <w:t xml:space="preserve"> контроль</w:t>
      </w:r>
    </w:p>
    <w:p w14:paraId="CA000000">
      <w:pPr>
        <w:pStyle w:val="Style_2"/>
        <w:spacing w:line="240" w:lineRule="auto"/>
        <w:ind w:firstLine="708" w:left="0"/>
        <w:jc w:val="center"/>
        <w:rPr>
          <w:rFonts w:ascii="Times New Roman" w:hAnsi="Times New Roman"/>
          <w:b w:val="1"/>
          <w:sz w:val="28"/>
        </w:rPr>
      </w:pPr>
    </w:p>
    <w:p w14:paraId="CB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Система </w:t>
      </w:r>
      <w:r>
        <w:rPr>
          <w:rFonts w:ascii="Times New Roman" w:hAnsi="Times New Roman"/>
          <w:sz w:val="28"/>
        </w:rPr>
        <w:t>внутришкольного</w:t>
      </w:r>
      <w:r>
        <w:rPr>
          <w:rFonts w:ascii="Times New Roman" w:hAnsi="Times New Roman"/>
          <w:sz w:val="28"/>
        </w:rPr>
        <w:t xml:space="preserve"> контроля является составной частью мониторинга </w:t>
      </w:r>
      <w:r>
        <w:rPr>
          <w:rFonts w:ascii="Times New Roman" w:hAnsi="Times New Roman"/>
          <w:sz w:val="28"/>
        </w:rPr>
        <w:t>учебно</w:t>
      </w:r>
      <w:r>
        <w:rPr>
          <w:rFonts w:ascii="Times New Roman" w:hAnsi="Times New Roman"/>
          <w:sz w:val="28"/>
        </w:rPr>
        <w:t xml:space="preserve"> - воспитательного процесса. Целью </w:t>
      </w:r>
      <w:r>
        <w:rPr>
          <w:rFonts w:ascii="Times New Roman" w:hAnsi="Times New Roman"/>
          <w:sz w:val="28"/>
        </w:rPr>
        <w:t>внутришкольного</w:t>
      </w:r>
      <w:r>
        <w:rPr>
          <w:rFonts w:ascii="Times New Roman" w:hAnsi="Times New Roman"/>
          <w:sz w:val="28"/>
        </w:rPr>
        <w:t xml:space="preserve"> контроля является совершенствование </w:t>
      </w:r>
      <w:r>
        <w:rPr>
          <w:rFonts w:ascii="Times New Roman" w:hAnsi="Times New Roman"/>
          <w:sz w:val="28"/>
        </w:rPr>
        <w:t>учебно</w:t>
      </w:r>
      <w:r>
        <w:rPr>
          <w:rFonts w:ascii="Times New Roman" w:hAnsi="Times New Roman"/>
          <w:sz w:val="28"/>
        </w:rPr>
        <w:t xml:space="preserve"> - воспитательного процесса, отслеживание динамики развития обучающихся, реализация их потенциала, учитывая индивидуальные особенности, интересы, возможности, состояние здоровья каждого обучающегося.</w:t>
      </w:r>
    </w:p>
    <w:p w14:paraId="CC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Задачи:</w:t>
      </w:r>
    </w:p>
    <w:p w14:paraId="CD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Анализ и прогнозирование перспективных, значимых для школы направлений развития учебно-воспитательного процесса.</w:t>
      </w:r>
    </w:p>
    <w:p w14:paraId="CE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Совершенствование организации учебно-воспитательного процесса.</w:t>
      </w:r>
    </w:p>
    <w:p w14:paraId="CF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Подготовка экспертных материалов к аттестации педагогических работников.</w:t>
      </w:r>
    </w:p>
    <w:p w14:paraId="D0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Корректировка тематического планирования образовательных программ.</w:t>
      </w:r>
    </w:p>
    <w:p w14:paraId="D1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Анализ и оценка результативности работы коллектива и отдельных тренеров – преподавателей.</w:t>
      </w:r>
    </w:p>
    <w:p w14:paraId="D2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Осуществлением координационных связей взаимодействия как внутри МБУДО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СШ», так с другими образовательными учреждениями и общественными организациями.</w:t>
      </w:r>
    </w:p>
    <w:p w14:paraId="D3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Контроль за</w:t>
      </w:r>
      <w:r>
        <w:rPr>
          <w:rFonts w:ascii="Times New Roman" w:hAnsi="Times New Roman"/>
          <w:sz w:val="28"/>
        </w:rPr>
        <w:t xml:space="preserve"> работой по организационному, методическому и кадровому обеспечению учебно-воспитательного процесса, своевременностью и качеством выполнения намеченного. </w:t>
      </w:r>
    </w:p>
    <w:p w14:paraId="D4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Основными направлениями контроля учебно-тренировочного и воспитательного процесса являются: </w:t>
      </w:r>
    </w:p>
    <w:p w14:paraId="D5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• Административный контроль </w:t>
      </w:r>
    </w:p>
    <w:p w14:paraId="D6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• Тематический контроль </w:t>
      </w:r>
    </w:p>
    <w:p w14:paraId="D7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• Промежуточный и итоговый контроль </w:t>
      </w:r>
    </w:p>
    <w:p w14:paraId="D8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• Персональный контроль </w:t>
      </w:r>
    </w:p>
    <w:p w14:paraId="D9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• Медицинский контроль </w:t>
      </w:r>
    </w:p>
    <w:p w14:paraId="DA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Внутришкольный</w:t>
      </w:r>
      <w:r>
        <w:rPr>
          <w:rFonts w:ascii="Times New Roman" w:hAnsi="Times New Roman"/>
          <w:sz w:val="28"/>
        </w:rPr>
        <w:t xml:space="preserve"> контроль дает возможность проанализировать и всесторонне рассмотреть как положительные, так и проблемные стороны учебно-тренировочного и воспитательного процесса и проследить динамику роста профессиональной квалификации педагогов, своевременно оказать методическую помощь.</w:t>
      </w:r>
    </w:p>
    <w:p w14:paraId="DB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</w:p>
    <w:p w14:paraId="DC000000">
      <w:pPr>
        <w:pStyle w:val="Style_2"/>
        <w:spacing w:line="240" w:lineRule="auto"/>
        <w:ind w:firstLine="708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Учебно-методическое обеспечение образовательного процесса</w:t>
      </w:r>
    </w:p>
    <w:p w14:paraId="DD000000">
      <w:pPr>
        <w:pStyle w:val="Style_2"/>
        <w:spacing w:line="240" w:lineRule="auto"/>
        <w:ind w:firstLine="708" w:left="0"/>
        <w:jc w:val="center"/>
        <w:rPr>
          <w:rFonts w:ascii="Times New Roman" w:hAnsi="Times New Roman"/>
          <w:b w:val="1"/>
          <w:sz w:val="28"/>
        </w:rPr>
      </w:pPr>
    </w:p>
    <w:p w14:paraId="DE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Современный уровень обеспечения тренировочного и воспитательного процесса требует от педагогического коллектива активного участия в методической работе. Методическая служба МБУДО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СШ» - это система организационно педагогической и управленческой деятельности </w:t>
      </w:r>
      <w:r>
        <w:rPr>
          <w:rFonts w:ascii="Times New Roman" w:hAnsi="Times New Roman"/>
          <w:sz w:val="28"/>
        </w:rPr>
        <w:t xml:space="preserve">администрации, руководителя методического совета, методических объединений тренеров - преподавателей. </w:t>
      </w:r>
    </w:p>
    <w:p w14:paraId="DF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sz w:val="28"/>
        </w:rPr>
        <w:t>В МБУДО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СШ» применяются следующие формы организации методической работы: обобщение педагогического опыта работы, обмен опытом, заседания педагогических и методических советов, подготовка докладов к выступлениям по актуальным темам, подготовка методических разработок тренерами-преподавателями, оказание консультативной помощи тренерам – преподавателям и учителям физической культуры. Ежегодно педагогический коллектив МБУДО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СШ» планирует свою деятельность в соответствии с реализацией выбранной единой методической темы. </w:t>
      </w:r>
      <w:r>
        <w:rPr>
          <w:rFonts w:ascii="Times New Roman" w:hAnsi="Times New Roman"/>
          <w:color w:themeColor="text1" w:val="000000"/>
          <w:sz w:val="28"/>
        </w:rPr>
        <w:tab/>
      </w:r>
      <w:r>
        <w:rPr>
          <w:rFonts w:ascii="Times New Roman" w:hAnsi="Times New Roman"/>
          <w:color w:themeColor="text1" w:val="000000"/>
          <w:sz w:val="28"/>
          <w:u w:val="single"/>
        </w:rPr>
        <w:t>Методическая тема МБ</w:t>
      </w:r>
      <w:r>
        <w:rPr>
          <w:rFonts w:ascii="Times New Roman" w:hAnsi="Times New Roman"/>
          <w:color w:themeColor="text1" w:val="000000"/>
          <w:sz w:val="28"/>
          <w:u w:val="single"/>
        </w:rPr>
        <w:t>УДО «</w:t>
      </w:r>
      <w:r>
        <w:rPr>
          <w:rFonts w:ascii="Times New Roman" w:hAnsi="Times New Roman"/>
          <w:color w:themeColor="text1" w:val="000000"/>
          <w:sz w:val="28"/>
          <w:u w:val="single"/>
        </w:rPr>
        <w:t>Краснохолмская</w:t>
      </w:r>
      <w:r>
        <w:rPr>
          <w:rFonts w:ascii="Times New Roman" w:hAnsi="Times New Roman"/>
          <w:color w:themeColor="text1" w:val="000000"/>
          <w:sz w:val="28"/>
          <w:u w:val="single"/>
        </w:rPr>
        <w:t xml:space="preserve"> СШ» в 2024 – 2025</w:t>
      </w:r>
      <w:r>
        <w:rPr>
          <w:rFonts w:ascii="Times New Roman" w:hAnsi="Times New Roman"/>
          <w:color w:themeColor="text1" w:val="000000"/>
          <w:sz w:val="28"/>
          <w:u w:val="single"/>
        </w:rPr>
        <w:t>уч.г.:</w:t>
      </w:r>
      <w:r>
        <w:rPr>
          <w:rFonts w:ascii="Times New Roman" w:hAnsi="Times New Roman"/>
          <w:color w:themeColor="text1" w:val="000000"/>
          <w:sz w:val="28"/>
        </w:rPr>
        <w:t xml:space="preserve"> ««Реализация образовательных программ в сфере физической культуры и спорта в организациях дополнительного образования».</w:t>
      </w:r>
    </w:p>
    <w:p w14:paraId="E0000000">
      <w:pPr>
        <w:pStyle w:val="Style_2"/>
        <w:spacing w:line="240" w:lineRule="auto"/>
        <w:ind w:firstLine="708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  <w:u w:val="single"/>
        </w:rPr>
        <w:t>Цель</w:t>
      </w:r>
      <w:r>
        <w:rPr>
          <w:rFonts w:ascii="Times New Roman" w:hAnsi="Times New Roman"/>
          <w:color w:themeColor="text1" w:val="000000"/>
          <w:sz w:val="28"/>
          <w:u w:val="single"/>
        </w:rPr>
        <w:t>:</w:t>
      </w:r>
      <w:r>
        <w:rPr>
          <w:rFonts w:ascii="Times New Roman" w:hAnsi="Times New Roman"/>
          <w:color w:themeColor="text1" w:val="000000"/>
          <w:sz w:val="28"/>
        </w:rPr>
        <w:t>Ф</w:t>
      </w:r>
      <w:r>
        <w:rPr>
          <w:rFonts w:ascii="Times New Roman" w:hAnsi="Times New Roman"/>
          <w:color w:themeColor="text1" w:val="000000"/>
          <w:sz w:val="28"/>
        </w:rPr>
        <w:t>ормирование</w:t>
      </w:r>
      <w:r>
        <w:rPr>
          <w:rFonts w:ascii="Times New Roman" w:hAnsi="Times New Roman"/>
          <w:color w:themeColor="text1" w:val="000000"/>
          <w:sz w:val="28"/>
        </w:rPr>
        <w:t xml:space="preserve"> готовности тренеров – преподавателей СШ к реализации образовательных программ  и программ спортивной подготовки в сфере физической культуры и спорта в организациях дополнительного образования. </w:t>
      </w:r>
    </w:p>
    <w:p w14:paraId="E1000000">
      <w:pPr>
        <w:pStyle w:val="Style_2"/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Задачи: </w:t>
      </w:r>
    </w:p>
    <w:p w14:paraId="E2000000">
      <w:pPr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- формирование и развитие творческих и спортивных способностей обучающихся;</w:t>
      </w:r>
    </w:p>
    <w:p w14:paraId="E3000000">
      <w:pPr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формирование культуры здорового и безопасного образа жизни, укрепление здоровья </w:t>
      </w:r>
      <w:r>
        <w:rPr>
          <w:rFonts w:ascii="Times New Roman" w:hAnsi="Times New Roman"/>
          <w:color w:themeColor="text1" w:val="000000"/>
          <w:sz w:val="28"/>
        </w:rPr>
        <w:t>обучающихся</w:t>
      </w:r>
      <w:r>
        <w:rPr>
          <w:rFonts w:ascii="Times New Roman" w:hAnsi="Times New Roman"/>
          <w:color w:themeColor="text1" w:val="000000"/>
          <w:sz w:val="28"/>
        </w:rPr>
        <w:t>;</w:t>
      </w:r>
    </w:p>
    <w:p w14:paraId="E4000000">
      <w:pPr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- мотивация тренеров – преподавателей для дальнейшего саморазвития;</w:t>
      </w:r>
    </w:p>
    <w:p w14:paraId="E5000000">
      <w:pPr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- выявление и поддержка детей, показавших высокие спортивные достижения в спорте.</w:t>
      </w:r>
    </w:p>
    <w:p w14:paraId="E6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</w:p>
    <w:p w14:paraId="E7000000">
      <w:pPr>
        <w:ind w:firstLine="708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Работа со СМИ. </w:t>
      </w:r>
      <w:r>
        <w:rPr>
          <w:rFonts w:ascii="Times New Roman" w:hAnsi="Times New Roman"/>
          <w:sz w:val="28"/>
        </w:rPr>
        <w:t>В течение года в СМИ освещались результаты выступлений обучающихся на соревнованиях различного уровня. Результаты соревнований обучающихся размещались на официальном сайте МБУДО «</w:t>
      </w:r>
      <w:r>
        <w:rPr>
          <w:rFonts w:ascii="Times New Roman" w:hAnsi="Times New Roman"/>
          <w:sz w:val="28"/>
        </w:rPr>
        <w:t>Краснохолмская</w:t>
      </w:r>
      <w:r>
        <w:rPr>
          <w:rFonts w:ascii="Times New Roman" w:hAnsi="Times New Roman"/>
          <w:sz w:val="28"/>
        </w:rPr>
        <w:t xml:space="preserve"> СШ».</w:t>
      </w:r>
    </w:p>
    <w:p w14:paraId="E8000000">
      <w:pPr>
        <w:pStyle w:val="Style_2"/>
        <w:rPr>
          <w:rFonts w:ascii="Times New Roman" w:hAnsi="Times New Roman"/>
          <w:b w:val="1"/>
          <w:sz w:val="24"/>
        </w:rPr>
      </w:pPr>
    </w:p>
    <w:sectPr>
      <w:pgSz w:h="16838" w:orient="portrait" w:w="11906"/>
      <w:pgMar w:bottom="1134" w:footer="708" w:gutter="0" w:header="708" w:left="1134" w:right="70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</w:style>
  <w:style w:default="1" w:styleId="Style_5_ch" w:type="character">
    <w:name w:val="Normal"/>
    <w:link w:val="Style_5"/>
  </w:style>
  <w:style w:styleId="Style_6" w:type="paragraph">
    <w:name w:val="Основной шрифт абзаца1"/>
    <w:link w:val="Style_6_ch"/>
  </w:style>
  <w:style w:styleId="Style_6_ch" w:type="character">
    <w:name w:val="Основной шрифт абзаца1"/>
    <w:link w:val="Style_6"/>
  </w:style>
  <w:style w:styleId="Style_7" w:type="paragraph">
    <w:name w:val="toc 2"/>
    <w:next w:val="Style_5"/>
    <w:link w:val="Style_7_ch"/>
    <w:uiPriority w:val="39"/>
    <w:pPr>
      <w:ind w:firstLine="0" w:left="200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5"/>
    <w:link w:val="Style_8_ch"/>
    <w:uiPriority w:val="39"/>
    <w:pPr>
      <w:ind w:firstLine="0" w:left="600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5"/>
    <w:link w:val="Style_9_ch"/>
    <w:uiPriority w:val="39"/>
    <w:pPr>
      <w:ind w:firstLine="0" w:left="1000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5"/>
    <w:link w:val="Style_10_ch"/>
    <w:uiPriority w:val="39"/>
    <w:pPr>
      <w:ind w:firstLine="0" w:left="1200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End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Endnote"/>
    <w:link w:val="Style_11"/>
    <w:rPr>
      <w:rFonts w:ascii="XO Thames" w:hAnsi="XO Thames"/>
      <w:sz w:val="22"/>
    </w:rPr>
  </w:style>
  <w:style w:styleId="Style_12" w:type="paragraph">
    <w:name w:val="heading 3"/>
    <w:next w:val="Style_5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toc 3"/>
    <w:next w:val="Style_5"/>
    <w:link w:val="Style_13_ch"/>
    <w:uiPriority w:val="39"/>
    <w:pPr>
      <w:ind w:firstLine="0" w:left="400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2" w:type="paragraph">
    <w:name w:val="List Paragraph"/>
    <w:basedOn w:val="Style_5"/>
    <w:link w:val="Style_2_ch"/>
    <w:pPr>
      <w:ind w:firstLine="0" w:left="720"/>
      <w:contextualSpacing w:val="1"/>
    </w:pPr>
  </w:style>
  <w:style w:styleId="Style_2_ch" w:type="character">
    <w:name w:val="List Paragraph"/>
    <w:basedOn w:val="Style_5_ch"/>
    <w:link w:val="Style_2"/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15" w:type="paragraph">
    <w:name w:val="heading 5"/>
    <w:basedOn w:val="Style_5"/>
    <w:next w:val="Style_5"/>
    <w:link w:val="Style_15_ch"/>
    <w:uiPriority w:val="9"/>
    <w:qFormat/>
    <w:pPr>
      <w:keepNext w:val="1"/>
      <w:keepLines w:val="1"/>
      <w:spacing w:after="0" w:before="200"/>
      <w:ind/>
      <w:outlineLvl w:val="4"/>
    </w:pPr>
    <w:rPr>
      <w:rFonts w:asciiTheme="majorAscii" w:hAnsiTheme="majorHAnsi"/>
      <w:color w:themeColor="accent1" w:themeShade="7F" w:val="244061"/>
    </w:rPr>
  </w:style>
  <w:style w:styleId="Style_15_ch" w:type="character">
    <w:name w:val="heading 5"/>
    <w:basedOn w:val="Style_5_ch"/>
    <w:link w:val="Style_15"/>
    <w:rPr>
      <w:rFonts w:asciiTheme="majorAscii" w:hAnsiTheme="majorHAnsi"/>
      <w:color w:themeColor="accent1" w:themeShade="7F" w:val="244061"/>
    </w:rPr>
  </w:style>
  <w:style w:styleId="Style_16" w:type="paragraph">
    <w:name w:val="heading 1"/>
    <w:next w:val="Style_5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</w:rPr>
  </w:style>
  <w:style w:styleId="Style_18_ch" w:type="character">
    <w:name w:val="Footnote"/>
    <w:link w:val="Style_18"/>
    <w:rPr>
      <w:rFonts w:ascii="XO Thames" w:hAnsi="XO Thames"/>
    </w:rPr>
  </w:style>
  <w:style w:styleId="Style_1" w:type="paragraph">
    <w:name w:val="Гиперссылка1"/>
    <w:basedOn w:val="Style_6"/>
    <w:link w:val="Style_1_ch"/>
    <w:rPr>
      <w:color w:val="0000FF"/>
      <w:u w:val="single"/>
    </w:rPr>
  </w:style>
  <w:style w:styleId="Style_1_ch" w:type="character">
    <w:name w:val="Гиперссылка1"/>
    <w:basedOn w:val="Style_6_ch"/>
    <w:link w:val="Style_1"/>
    <w:rPr>
      <w:color w:val="0000FF"/>
      <w:u w:val="single"/>
    </w:rPr>
  </w:style>
  <w:style w:styleId="Style_19" w:type="paragraph">
    <w:name w:val="toc 1"/>
    <w:next w:val="Style_5"/>
    <w:link w:val="Style_19_ch"/>
    <w:uiPriority w:val="39"/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Balloon Text"/>
    <w:basedOn w:val="Style_5"/>
    <w:link w:val="Style_21_ch"/>
    <w:pPr>
      <w:spacing w:after="0" w:line="240" w:lineRule="auto"/>
      <w:ind/>
    </w:pPr>
    <w:rPr>
      <w:rFonts w:ascii="Tahoma" w:hAnsi="Tahoma"/>
      <w:sz w:val="16"/>
    </w:rPr>
  </w:style>
  <w:style w:styleId="Style_21_ch" w:type="character">
    <w:name w:val="Balloon Text"/>
    <w:basedOn w:val="Style_5_ch"/>
    <w:link w:val="Style_21"/>
    <w:rPr>
      <w:rFonts w:ascii="Tahoma" w:hAnsi="Tahoma"/>
      <w:sz w:val="16"/>
    </w:rPr>
  </w:style>
  <w:style w:styleId="Style_22" w:type="paragraph">
    <w:name w:val="Обычный1"/>
    <w:link w:val="Style_22_ch"/>
  </w:style>
  <w:style w:styleId="Style_22_ch" w:type="character">
    <w:name w:val="Обычный1"/>
    <w:link w:val="Style_22"/>
  </w:style>
  <w:style w:styleId="Style_23" w:type="paragraph">
    <w:name w:val="toc 9"/>
    <w:next w:val="Style_5"/>
    <w:link w:val="Style_23_ch"/>
    <w:uiPriority w:val="39"/>
    <w:pPr>
      <w:ind w:firstLine="0" w:left="1600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toc 8"/>
    <w:next w:val="Style_5"/>
    <w:link w:val="Style_24_ch"/>
    <w:uiPriority w:val="39"/>
    <w:pPr>
      <w:ind w:firstLine="0" w:left="1400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toc 5"/>
    <w:next w:val="Style_5"/>
    <w:link w:val="Style_25_ch"/>
    <w:uiPriority w:val="39"/>
    <w:pPr>
      <w:ind w:firstLine="0" w:left="800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26" w:type="paragraph">
    <w:name w:val="Subtitle"/>
    <w:next w:val="Style_5"/>
    <w:link w:val="Style_26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6_ch" w:type="character">
    <w:name w:val="Subtitle"/>
    <w:link w:val="Style_26"/>
    <w:rPr>
      <w:rFonts w:ascii="XO Thames" w:hAnsi="XO Thames"/>
      <w:i w:val="1"/>
      <w:sz w:val="24"/>
    </w:rPr>
  </w:style>
  <w:style w:styleId="Style_27" w:type="paragraph">
    <w:name w:val="Title"/>
    <w:next w:val="Style_5"/>
    <w:link w:val="Style_2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ing 4"/>
    <w:next w:val="Style_5"/>
    <w:link w:val="Style_2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8_ch" w:type="character">
    <w:name w:val="heading 4"/>
    <w:link w:val="Style_28"/>
    <w:rPr>
      <w:rFonts w:ascii="XO Thames" w:hAnsi="XO Thames"/>
      <w:b w:val="1"/>
      <w:sz w:val="24"/>
    </w:rPr>
  </w:style>
  <w:style w:styleId="Style_29" w:type="paragraph">
    <w:name w:val="heading 2"/>
    <w:next w:val="Style_5"/>
    <w:link w:val="Style_29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9_ch" w:type="character">
    <w:name w:val="heading 2"/>
    <w:link w:val="Style_29"/>
    <w:rPr>
      <w:rFonts w:ascii="XO Thames" w:hAnsi="XO Thames"/>
      <w:b w:val="1"/>
      <w:sz w:val="28"/>
    </w:rPr>
  </w:style>
  <w:style w:styleId="Style_3" w:type="table">
    <w:name w:val="Medium Shading 2 Accent 5"/>
    <w:basedOn w:val="Style_30"/>
    <w:pPr>
      <w:spacing w:after="0" w:line="240" w:lineRule="auto"/>
      <w:ind/>
    </w:pPr>
    <w:tblPr>
      <w:tblInd w:type="dxa" w:w="0"/>
      <w:tblBorders>
        <w:top w:color="000000" w:sz="18" w:val="single"/>
        <w:bottom w:color="000000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" w:type="table">
    <w:name w:val="Medium Shading 2 Accent 1"/>
    <w:basedOn w:val="Style_30"/>
    <w:pPr>
      <w:spacing w:after="0" w:line="240" w:lineRule="auto"/>
      <w:ind/>
    </w:pPr>
    <w:tblPr>
      <w:tblInd w:type="dxa" w:w="0"/>
      <w:tblBorders>
        <w:top w:color="000000" w:sz="18" w:val="single"/>
        <w:bottom w:color="000000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3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Grid"/>
    <w:basedOn w:val="Style_30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emf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2025-04-14T07:16:43Z</dcterms:modified>
</cp:coreProperties>
</file>