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Количество вакантных мест в МБУДО «Краснохолмская </w:t>
      </w:r>
      <w:r>
        <w:rPr>
          <w:rFonts w:ascii="Times New Roman" w:hAnsi="Times New Roman"/>
          <w:b w:val="1"/>
          <w:sz w:val="36"/>
        </w:rPr>
        <w:t>спортивная школа</w:t>
      </w:r>
      <w:r>
        <w:rPr>
          <w:rFonts w:ascii="Times New Roman" w:hAnsi="Times New Roman"/>
          <w:b w:val="1"/>
          <w:sz w:val="36"/>
        </w:rPr>
        <w:t>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bookmarkStart w:id="1" w:name="_GoBack"/>
      <w:bookmarkEnd w:id="1"/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Обучающихся</w:t>
      </w:r>
      <w:r>
        <w:rPr>
          <w:rFonts w:ascii="Times New Roman" w:hAnsi="Times New Roman"/>
          <w:b w:val="1"/>
          <w:sz w:val="36"/>
        </w:rPr>
        <w:t xml:space="preserve"> в спортивной школе – 256 человека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32"/>
        </w:rPr>
      </w:pPr>
    </w:p>
    <w:tbl>
      <w:tblPr>
        <w:tblStyle w:val="Style_1"/>
        <w:tblW w:type="auto" w:w="0"/>
        <w:tblLayout w:type="fixed"/>
      </w:tblPr>
      <w:tblGrid>
        <w:gridCol w:w="200"/>
        <w:gridCol w:w="6794"/>
        <w:gridCol w:w="4272"/>
        <w:gridCol w:w="3116"/>
      </w:tblGrid>
      <w:tr>
        <w:tc>
          <w:tcPr>
            <w:tcW w:type="dxa" w:w="200"/>
          </w:tcPr>
          <w:p w14:paraId="0600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6794"/>
          </w:tcPr>
          <w:p w14:paraId="0700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z w:val="24"/>
              </w:rPr>
              <w:t xml:space="preserve"> дополнительной общеразвивающей </w:t>
            </w:r>
            <w:r>
              <w:rPr>
                <w:rFonts w:ascii="Times New Roman" w:hAnsi="Times New Roman"/>
                <w:sz w:val="24"/>
              </w:rPr>
              <w:t xml:space="preserve"> образовательной программы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0900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4272"/>
          </w:tcPr>
          <w:p w14:paraId="0A00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</w:rPr>
              <w:t>занимающихся</w:t>
            </w:r>
          </w:p>
        </w:tc>
        <w:tc>
          <w:tcPr>
            <w:tcW w:type="dxa" w:w="3116"/>
          </w:tcPr>
          <w:p w14:paraId="0B00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вакантных мест</w:t>
            </w:r>
          </w:p>
        </w:tc>
      </w:tr>
      <w:tr>
        <w:trPr>
          <w:trHeight w:hRule="atLeast" w:val="361"/>
        </w:trPr>
        <w:tc>
          <w:tcPr>
            <w:tcW w:type="dxa" w:w="200"/>
          </w:tcPr>
          <w:p w14:paraId="0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94"/>
          </w:tcPr>
          <w:p w14:paraId="0D000000">
            <w:pPr>
              <w:tabs>
                <w:tab w:leader="none" w:pos="6063" w:val="righ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рограмма по футболу</w:t>
            </w:r>
            <w:r>
              <w:rPr>
                <w:rFonts w:ascii="Times New Roman" w:hAnsi="Times New Roman"/>
                <w:sz w:val="28"/>
              </w:rPr>
              <w:t xml:space="preserve"> ГНП-3</w:t>
            </w:r>
            <w:r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type="dxa" w:w="4272"/>
          </w:tcPr>
          <w:p w14:paraId="0E000000">
            <w:r>
              <w:t xml:space="preserve">                                       9</w:t>
            </w:r>
          </w:p>
        </w:tc>
        <w:tc>
          <w:tcPr>
            <w:tcW w:type="dxa" w:w="3116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>
        <w:trPr>
          <w:trHeight w:hRule="atLeast" w:val="420"/>
        </w:trPr>
        <w:tc>
          <w:tcPr>
            <w:tcW w:type="dxa" w:w="200"/>
          </w:tcPr>
          <w:p w14:paraId="1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94"/>
          </w:tcPr>
          <w:p w14:paraId="11000000">
            <w:pPr>
              <w:tabs>
                <w:tab w:leader="none" w:pos="6063" w:val="righ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спортивной подготовки по футболу ГНП-1</w:t>
            </w:r>
          </w:p>
        </w:tc>
        <w:tc>
          <w:tcPr>
            <w:tcW w:type="dxa" w:w="4272"/>
          </w:tcPr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type="dxa" w:w="3116"/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00"/>
          </w:tcPr>
          <w:p w14:paraId="1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</w:t>
            </w:r>
          </w:p>
        </w:tc>
        <w:tc>
          <w:tcPr>
            <w:tcW w:type="dxa" w:w="6794"/>
            <w:tcBorders>
              <w:top w:sz="8" w:themeColor="accent1" w:val="single"/>
              <w:left w:sz="8" w:themeColor="accent1" w:val="single"/>
              <w:bottom w:sz="8" w:themeColor="accent1" w:val="single"/>
              <w:right w:sz="8" w:themeColor="accen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tabs>
                <w:tab w:leader="none" w:pos="6063" w:val="righ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спортивной подготовки по футболу ГНП-2</w:t>
            </w:r>
          </w:p>
        </w:tc>
        <w:tc>
          <w:tcPr>
            <w:tcW w:type="dxa" w:w="4272"/>
          </w:tcPr>
          <w:p w14:paraId="1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3116"/>
          </w:tcPr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396"/>
        </w:trPr>
        <w:tc>
          <w:tcPr>
            <w:tcW w:type="dxa" w:w="200"/>
          </w:tcPr>
          <w:p w14:paraId="1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94"/>
          </w:tcPr>
          <w:p w14:paraId="1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рограмма  по  </w:t>
            </w:r>
            <w:r>
              <w:rPr>
                <w:rFonts w:ascii="Times New Roman" w:hAnsi="Times New Roman"/>
                <w:sz w:val="28"/>
              </w:rPr>
              <w:t>баскетболу ГНП-1</w:t>
            </w:r>
          </w:p>
        </w:tc>
        <w:tc>
          <w:tcPr>
            <w:tcW w:type="dxa" w:w="4272"/>
          </w:tcPr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3116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446"/>
        </w:trPr>
        <w:tc>
          <w:tcPr>
            <w:tcW w:type="dxa" w:w="200"/>
          </w:tcPr>
          <w:p w14:paraId="1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94"/>
          </w:tcPr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рограмма по настольному  теннису ГНП-3 </w:t>
            </w:r>
          </w:p>
        </w:tc>
        <w:tc>
          <w:tcPr>
            <w:tcW w:type="dxa" w:w="4272"/>
          </w:tcPr>
          <w:p w14:paraId="1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116"/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93"/>
        </w:trPr>
        <w:tc>
          <w:tcPr>
            <w:tcW w:type="dxa" w:w="200"/>
          </w:tcPr>
          <w:p w14:paraId="2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94"/>
            <w:tcBorders>
              <w:top w:sz="8" w:themeColor="accent1" w:val="single"/>
              <w:left w:sz="8" w:themeColor="accent1" w:val="single"/>
              <w:bottom w:sz="8" w:themeColor="accent1" w:val="single"/>
              <w:right w:sz="8" w:themeColor="accen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рограмма по настольному  теннису ТЭ-1</w:t>
            </w:r>
          </w:p>
        </w:tc>
        <w:tc>
          <w:tcPr>
            <w:tcW w:type="dxa" w:w="4272"/>
          </w:tcPr>
          <w:p w14:paraId="2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116"/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409"/>
        </w:trPr>
        <w:tc>
          <w:tcPr>
            <w:tcW w:type="dxa" w:w="200"/>
          </w:tcPr>
          <w:p w14:paraId="2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94"/>
          </w:tcPr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Образовательная программа по волейболу ГНП-3</w:t>
            </w:r>
          </w:p>
        </w:tc>
        <w:tc>
          <w:tcPr>
            <w:tcW w:type="dxa" w:w="4272"/>
          </w:tcPr>
          <w:p w14:paraId="2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3116"/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>
        <w:trPr>
          <w:trHeight w:hRule="atLeast" w:val="396"/>
        </w:trPr>
        <w:tc>
          <w:tcPr>
            <w:tcW w:type="dxa" w:w="200"/>
          </w:tcPr>
          <w:p w14:paraId="2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94"/>
            <w:tcBorders>
              <w:top w:sz="8" w:themeColor="accent1" w:val="single"/>
              <w:left w:sz="8" w:themeColor="accent1" w:val="single"/>
              <w:bottom w:sz="8" w:themeColor="accent1" w:val="single"/>
              <w:right w:sz="8" w:themeColor="accen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Образовательная программа по волейболу ГНП-1</w:t>
            </w:r>
          </w:p>
        </w:tc>
        <w:tc>
          <w:tcPr>
            <w:tcW w:type="dxa" w:w="4272"/>
          </w:tcPr>
          <w:p w14:paraId="2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3116"/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200"/>
          </w:tcPr>
          <w:p w14:paraId="2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94"/>
          </w:tcPr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Образовательная программа по спортивной акробатике ГНП-1, ГНП-2</w:t>
            </w:r>
          </w:p>
        </w:tc>
        <w:tc>
          <w:tcPr>
            <w:tcW w:type="dxa" w:w="4272"/>
          </w:tcPr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type="dxa" w:w="3116"/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00"/>
          </w:tcPr>
          <w:p w14:paraId="3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94"/>
          </w:tcPr>
          <w:p w14:paraId="3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Дополнительная общеразвивающая программа сетевого взаимодействия по общей физической подготовке программа «Первые шаги к ГТО» для воспитанников дошкольных образовательных учреждений.</w:t>
            </w:r>
          </w:p>
        </w:tc>
        <w:tc>
          <w:tcPr>
            <w:tcW w:type="dxa" w:w="4272"/>
          </w:tcPr>
          <w:p w14:paraId="3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type="dxa" w:w="3116"/>
          </w:tcPr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</w:tr>
      <w:tr>
        <w:trPr>
          <w:trHeight w:hRule="atLeast" w:val="410"/>
        </w:trPr>
        <w:tc>
          <w:tcPr>
            <w:tcW w:type="dxa" w:w="200"/>
          </w:tcPr>
          <w:p w14:paraId="3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94"/>
          </w:tcPr>
          <w:p w14:paraId="3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по пауэрлифтингу</w:t>
            </w:r>
          </w:p>
        </w:tc>
        <w:tc>
          <w:tcPr>
            <w:tcW w:type="dxa" w:w="4272"/>
          </w:tcPr>
          <w:p w14:paraId="3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type="dxa" w:w="3116"/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456"/>
        </w:trPr>
        <w:tc>
          <w:tcPr>
            <w:tcW w:type="dxa" w:w="200"/>
          </w:tcPr>
          <w:p w14:paraId="3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94"/>
          </w:tcPr>
          <w:p w14:paraId="3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Программа по  лыжным гонкам </w:t>
            </w:r>
          </w:p>
        </w:tc>
        <w:tc>
          <w:tcPr>
            <w:tcW w:type="dxa" w:w="4272"/>
          </w:tcPr>
          <w:p w14:paraId="3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116"/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456"/>
        </w:trPr>
        <w:tc>
          <w:tcPr>
            <w:tcW w:type="dxa" w:w="200"/>
          </w:tcPr>
          <w:p w14:paraId="3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94"/>
          </w:tcPr>
          <w:p w14:paraId="3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по Подготовка к ГТО</w:t>
            </w:r>
          </w:p>
        </w:tc>
        <w:tc>
          <w:tcPr>
            <w:tcW w:type="dxa" w:w="4272"/>
          </w:tcPr>
          <w:p w14:paraId="3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  <w:tc>
          <w:tcPr>
            <w:tcW w:type="dxa" w:w="3116"/>
          </w:tcPr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56"/>
        </w:trPr>
        <w:tc>
          <w:tcPr>
            <w:tcW w:type="dxa" w:w="200"/>
          </w:tcPr>
          <w:p w14:paraId="4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94"/>
          </w:tcPr>
          <w:p w14:paraId="4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ОФП</w:t>
            </w:r>
          </w:p>
        </w:tc>
        <w:tc>
          <w:tcPr>
            <w:tcW w:type="dxa" w:w="4272"/>
          </w:tcPr>
          <w:p w14:paraId="4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116"/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456"/>
        </w:trPr>
        <w:tc>
          <w:tcPr>
            <w:tcW w:type="dxa" w:w="200"/>
          </w:tcPr>
          <w:p w14:paraId="4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94"/>
          </w:tcPr>
          <w:p w14:paraId="4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Спортивная хореография</w:t>
            </w:r>
          </w:p>
        </w:tc>
        <w:tc>
          <w:tcPr>
            <w:tcW w:type="dxa" w:w="4272"/>
          </w:tcPr>
          <w:p w14:paraId="4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116"/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14:paraId="48000000">
      <w:pPr>
        <w:spacing w:after="0"/>
        <w:ind/>
        <w:jc w:val="center"/>
        <w:rPr>
          <w:rFonts w:ascii="Times New Roman" w:hAnsi="Times New Roman"/>
          <w:sz w:val="32"/>
        </w:rPr>
      </w:pPr>
    </w:p>
    <w:p w14:paraId="49000000">
      <w:pPr>
        <w:spacing w:after="0"/>
        <w:ind/>
        <w:jc w:val="center"/>
        <w:rPr>
          <w:rFonts w:ascii="Times New Roman" w:hAnsi="Times New Roman"/>
          <w:sz w:val="32"/>
        </w:rPr>
      </w:pPr>
    </w:p>
    <w:p w14:paraId="4A000000">
      <w:pPr>
        <w:spacing w:after="0"/>
        <w:ind/>
        <w:jc w:val="center"/>
        <w:rPr>
          <w:rFonts w:ascii="Times New Roman" w:hAnsi="Times New Roman"/>
          <w:sz w:val="32"/>
        </w:rPr>
      </w:pPr>
    </w:p>
    <w:p w14:paraId="4B000000">
      <w:pPr>
        <w:spacing w:after="0"/>
        <w:ind/>
        <w:jc w:val="center"/>
        <w:rPr>
          <w:rFonts w:ascii="Times New Roman" w:hAnsi="Times New Roman"/>
          <w:sz w:val="32"/>
        </w:rPr>
      </w:pPr>
    </w:p>
    <w:p w14:paraId="4C000000">
      <w:pPr>
        <w:spacing w:after="0"/>
        <w:ind/>
        <w:jc w:val="center"/>
        <w:rPr>
          <w:rFonts w:ascii="Times New Roman" w:hAnsi="Times New Roman"/>
          <w:sz w:val="32"/>
        </w:rPr>
      </w:pPr>
    </w:p>
    <w:p w14:paraId="4D000000">
      <w:pPr>
        <w:spacing w:after="0"/>
        <w:ind/>
        <w:jc w:val="center"/>
        <w:rPr>
          <w:rFonts w:ascii="Times New Roman" w:hAnsi="Times New Roman"/>
          <w:sz w:val="32"/>
        </w:rPr>
      </w:pPr>
    </w:p>
    <w:p w14:paraId="4E000000">
      <w:pPr>
        <w:spacing w:after="0"/>
        <w:ind/>
        <w:jc w:val="center"/>
        <w:rPr>
          <w:rFonts w:ascii="Times New Roman" w:hAnsi="Times New Roman"/>
          <w:sz w:val="32"/>
        </w:rPr>
      </w:pPr>
    </w:p>
    <w:p w14:paraId="4F000000">
      <w:pPr>
        <w:spacing w:after="0"/>
        <w:ind/>
        <w:jc w:val="center"/>
        <w:rPr>
          <w:rFonts w:ascii="Times New Roman" w:hAnsi="Times New Roman"/>
          <w:sz w:val="32"/>
        </w:rPr>
      </w:pPr>
    </w:p>
    <w:p w14:paraId="50000000">
      <w:pPr>
        <w:spacing w:after="0"/>
        <w:ind/>
        <w:jc w:val="center"/>
        <w:rPr>
          <w:rFonts w:ascii="Times New Roman" w:hAnsi="Times New Roman"/>
          <w:sz w:val="32"/>
        </w:rPr>
      </w:pPr>
    </w:p>
    <w:sectPr>
      <w:pgSz w:h="11906" w:orient="landscape" w:w="16838"/>
      <w:pgMar w:bottom="850" w:footer="708" w:gutter="0" w:header="708" w:left="1134" w:right="113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table">
    <w:name w:val="Light Shading Accent 4"/>
    <w:basedOn w:val="Style_27"/>
    <w:pPr>
      <w:spacing w:after="0" w:line="240" w:lineRule="auto"/>
      <w:ind/>
    </w:pPr>
    <w:rPr>
      <w:color w:themeColor="accent4" w:themeShade="BF" w:val="604A7B"/>
    </w:rPr>
    <w:tblPr>
      <w:tblBorders>
        <w:top w:sz="8" w:themeColor="accent4" w:val="single"/>
        <w:bottom w:sz="8" w:themeColor="accent4" w:val="single"/>
      </w:tblBorders>
    </w:tblPr>
  </w:style>
  <w:style w:styleId="Style_1" w:type="table">
    <w:name w:val="Light Grid Accent 1"/>
    <w:basedOn w:val="Style_27"/>
    <w:pPr>
      <w:spacing w:after="0" w:line="240" w:lineRule="auto"/>
      <w:ind/>
    </w:pPr>
    <w:tblPr>
      <w:tblBorders>
        <w:top w:sz="8" w:themeColor="accent1" w:val="single"/>
        <w:left w:sz="8" w:themeColor="accent1" w:val="single"/>
        <w:bottom w:sz="8" w:themeColor="accent1" w:val="single"/>
        <w:right w:sz="8" w:themeColor="accent1" w:val="single"/>
        <w:insideH w:sz="8" w:themeColor="accent1" w:val="single"/>
        <w:insideV w:sz="8" w:themeColor="accent1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Light Shading Accent 1"/>
    <w:basedOn w:val="Style_27"/>
    <w:pPr>
      <w:spacing w:after="0" w:line="240" w:lineRule="auto"/>
      <w:ind/>
    </w:pPr>
    <w:rPr>
      <w:color w:themeColor="accent1" w:themeShade="BF" w:val="376092"/>
    </w:rPr>
    <w:tblPr>
      <w:tblBorders>
        <w:top w:sz="8" w:themeColor="accent1" w:val="single"/>
        <w:bottom w:sz="8" w:themeColor="accent1" w:val="single"/>
      </w:tblBorders>
    </w:tblPr>
  </w:style>
  <w:style w:styleId="Style_29" w:type="table">
    <w:name w:val="Light Shading Accent 5"/>
    <w:basedOn w:val="Style_27"/>
    <w:pPr>
      <w:spacing w:after="0" w:line="240" w:lineRule="auto"/>
      <w:ind/>
    </w:pPr>
    <w:rPr>
      <w:color w:themeColor="accent5" w:themeShade="BF" w:val="31859B"/>
    </w:rPr>
    <w:tblPr>
      <w:tblBorders>
        <w:top w:sz="8" w:themeColor="accent5" w:val="single"/>
        <w:bottom w:sz="8" w:themeColor="accent5" w:val="single"/>
      </w:tblBorders>
    </w:tblPr>
  </w:style>
  <w:style w:styleId="Style_30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2025-05-26T12:06:33Z</dcterms:modified>
</cp:coreProperties>
</file>